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E312C" w14:textId="4B275724" w:rsidR="008441C6" w:rsidRDefault="0065020F" w:rsidP="0069778B">
      <w:pPr>
        <w:rPr>
          <w:rFonts w:ascii="Calibri" w:hAnsi="Calibri" w:cs="Arial"/>
          <w:b/>
          <w:sz w:val="22"/>
          <w:szCs w:val="22"/>
        </w:rPr>
      </w:pPr>
      <w:r>
        <w:rPr>
          <w:noProof/>
        </w:rPr>
        <w:drawing>
          <wp:inline distT="0" distB="0" distL="0" distR="0" wp14:anchorId="773E7280" wp14:editId="773E7281">
            <wp:extent cx="1952311" cy="431597"/>
            <wp:effectExtent l="0" t="0" r="0" b="6985"/>
            <wp:docPr id="1" name="Picture 1" descr="https://confluence.easternhealth.org.au/download/attachments/525010131/EH%20Horizontal%20Logo%20RGB%20-%20Primary.png?version=1&amp;modificationDate=16353942018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fluence.easternhealth.org.au/download/attachments/525010131/EH%20Horizontal%20Logo%20RGB%20-%20Primary.png?version=1&amp;modificationDate=1635394201800&amp;api=v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6538" cy="443585"/>
                    </a:xfrm>
                    <a:prstGeom prst="rect">
                      <a:avLst/>
                    </a:prstGeom>
                    <a:noFill/>
                    <a:ln>
                      <a:noFill/>
                    </a:ln>
                  </pic:spPr>
                </pic:pic>
              </a:graphicData>
            </a:graphic>
          </wp:inline>
        </w:drawing>
      </w:r>
    </w:p>
    <w:p w14:paraId="7ECE7310" w14:textId="3012F6D2" w:rsidR="00E06707" w:rsidRDefault="0069778B" w:rsidP="00171115">
      <w:pPr>
        <w:rPr>
          <w:rFonts w:ascii="Calibri" w:hAnsi="Calibri" w:cs="Arial"/>
        </w:rPr>
      </w:pPr>
      <w:r>
        <w:rPr>
          <w:rFonts w:ascii="Calibri" w:hAnsi="Calibri" w:cs="Arial"/>
        </w:rPr>
        <w:t>Report as at 31 December 2023</w:t>
      </w:r>
    </w:p>
    <w:tbl>
      <w:tblPr>
        <w:tblStyle w:val="TableGrid"/>
        <w:tblW w:w="14601" w:type="dxa"/>
        <w:tblInd w:w="-431" w:type="dxa"/>
        <w:tblLook w:val="04A0" w:firstRow="1" w:lastRow="0" w:firstColumn="1" w:lastColumn="0" w:noHBand="0" w:noVBand="1"/>
      </w:tblPr>
      <w:tblGrid>
        <w:gridCol w:w="2694"/>
        <w:gridCol w:w="2694"/>
        <w:gridCol w:w="2693"/>
        <w:gridCol w:w="6520"/>
      </w:tblGrid>
      <w:tr w:rsidR="0069778B" w:rsidRPr="00E06707" w14:paraId="3C1F43CE" w14:textId="77777777" w:rsidTr="0069778B">
        <w:trPr>
          <w:trHeight w:val="919"/>
        </w:trPr>
        <w:tc>
          <w:tcPr>
            <w:tcW w:w="2694" w:type="dxa"/>
            <w:shd w:val="clear" w:color="auto" w:fill="BFBFBF" w:themeFill="background1" w:themeFillShade="BF"/>
            <w:hideMark/>
          </w:tcPr>
          <w:p w14:paraId="4E7A7C1E" w14:textId="77777777" w:rsidR="0069778B" w:rsidRPr="00E06707" w:rsidRDefault="0069778B">
            <w:pPr>
              <w:rPr>
                <w:rFonts w:ascii="Calibri" w:hAnsi="Calibri" w:cs="Arial"/>
                <w:b/>
                <w:bCs/>
              </w:rPr>
            </w:pPr>
            <w:r w:rsidRPr="00E06707">
              <w:rPr>
                <w:rFonts w:ascii="Calibri" w:hAnsi="Calibri" w:cs="Arial"/>
                <w:b/>
                <w:bCs/>
              </w:rPr>
              <w:t>Year 1 (2021)</w:t>
            </w:r>
          </w:p>
        </w:tc>
        <w:tc>
          <w:tcPr>
            <w:tcW w:w="2694" w:type="dxa"/>
            <w:shd w:val="clear" w:color="auto" w:fill="BFBFBF" w:themeFill="background1" w:themeFillShade="BF"/>
            <w:hideMark/>
          </w:tcPr>
          <w:p w14:paraId="4BF869AF" w14:textId="77777777" w:rsidR="0069778B" w:rsidRPr="00E06707" w:rsidRDefault="0069778B">
            <w:pPr>
              <w:rPr>
                <w:rFonts w:ascii="Calibri" w:hAnsi="Calibri" w:cs="Arial"/>
                <w:b/>
                <w:bCs/>
              </w:rPr>
            </w:pPr>
            <w:r w:rsidRPr="00E06707">
              <w:rPr>
                <w:rFonts w:ascii="Calibri" w:hAnsi="Calibri" w:cs="Arial"/>
                <w:b/>
                <w:bCs/>
              </w:rPr>
              <w:t>Year 2 (2022)</w:t>
            </w:r>
          </w:p>
        </w:tc>
        <w:tc>
          <w:tcPr>
            <w:tcW w:w="2693" w:type="dxa"/>
            <w:shd w:val="clear" w:color="auto" w:fill="BFBFBF" w:themeFill="background1" w:themeFillShade="BF"/>
            <w:hideMark/>
          </w:tcPr>
          <w:p w14:paraId="13FB2FCD" w14:textId="77777777" w:rsidR="0069778B" w:rsidRPr="00E06707" w:rsidRDefault="0069778B">
            <w:pPr>
              <w:rPr>
                <w:rFonts w:ascii="Calibri" w:hAnsi="Calibri" w:cs="Arial"/>
                <w:b/>
                <w:bCs/>
              </w:rPr>
            </w:pPr>
            <w:r w:rsidRPr="00E06707">
              <w:rPr>
                <w:rFonts w:ascii="Calibri" w:hAnsi="Calibri" w:cs="Arial"/>
                <w:b/>
                <w:bCs/>
              </w:rPr>
              <w:t>Year 3 (2023)</w:t>
            </w:r>
          </w:p>
        </w:tc>
        <w:tc>
          <w:tcPr>
            <w:tcW w:w="6520" w:type="dxa"/>
            <w:shd w:val="clear" w:color="auto" w:fill="95B3D7" w:themeFill="accent1" w:themeFillTint="99"/>
            <w:hideMark/>
          </w:tcPr>
          <w:p w14:paraId="26657B0E" w14:textId="77777777" w:rsidR="0069778B" w:rsidRPr="00E06707" w:rsidRDefault="0069778B" w:rsidP="00E06707">
            <w:pPr>
              <w:rPr>
                <w:rFonts w:ascii="Calibri" w:hAnsi="Calibri" w:cs="Arial"/>
                <w:b/>
                <w:bCs/>
              </w:rPr>
            </w:pPr>
            <w:r w:rsidRPr="00E06707">
              <w:rPr>
                <w:rFonts w:ascii="Calibri" w:hAnsi="Calibri" w:cs="Arial"/>
                <w:b/>
                <w:bCs/>
              </w:rPr>
              <w:t>Overall Status</w:t>
            </w:r>
          </w:p>
        </w:tc>
      </w:tr>
      <w:tr w:rsidR="0069778B" w:rsidRPr="00E06707" w14:paraId="12A1D10F" w14:textId="77777777" w:rsidTr="0069778B">
        <w:trPr>
          <w:trHeight w:val="2684"/>
        </w:trPr>
        <w:tc>
          <w:tcPr>
            <w:tcW w:w="2694" w:type="dxa"/>
            <w:shd w:val="clear" w:color="auto" w:fill="FFFFFF" w:themeFill="background1"/>
            <w:hideMark/>
          </w:tcPr>
          <w:p w14:paraId="1678F8E6" w14:textId="77777777" w:rsidR="0069778B" w:rsidRPr="00E06707" w:rsidRDefault="0069778B">
            <w:pPr>
              <w:rPr>
                <w:rFonts w:ascii="Calibri" w:hAnsi="Calibri" w:cs="Arial"/>
              </w:rPr>
            </w:pPr>
            <w:r w:rsidRPr="00E06707">
              <w:rPr>
                <w:rFonts w:ascii="Calibri" w:hAnsi="Calibri" w:cs="Arial"/>
              </w:rPr>
              <w:t>Develop the implementation plan for the Health Literacy Standard</w:t>
            </w:r>
          </w:p>
        </w:tc>
        <w:tc>
          <w:tcPr>
            <w:tcW w:w="2694" w:type="dxa"/>
            <w:shd w:val="clear" w:color="auto" w:fill="FFFFFF" w:themeFill="background1"/>
            <w:hideMark/>
          </w:tcPr>
          <w:p w14:paraId="39F158D6" w14:textId="77777777" w:rsidR="0069778B" w:rsidRPr="00E06707" w:rsidRDefault="0069778B">
            <w:pPr>
              <w:rPr>
                <w:rFonts w:ascii="Calibri" w:hAnsi="Calibri" w:cs="Arial"/>
              </w:rPr>
            </w:pPr>
            <w:r w:rsidRPr="00E06707">
              <w:rPr>
                <w:rFonts w:ascii="Calibri" w:hAnsi="Calibri" w:cs="Arial"/>
              </w:rPr>
              <w:t xml:space="preserve">Implementation of all new and revised standards and guidelines including staff and consumer representative training and capability building. </w:t>
            </w:r>
            <w:r w:rsidRPr="00E06707">
              <w:rPr>
                <w:rFonts w:ascii="Calibri" w:hAnsi="Calibri" w:cs="Arial"/>
              </w:rPr>
              <w:br/>
              <w:t>Development of quantitative and qualitative measures of implementation of health literacy and the conduct a baseline assessment</w:t>
            </w:r>
          </w:p>
        </w:tc>
        <w:tc>
          <w:tcPr>
            <w:tcW w:w="2693" w:type="dxa"/>
            <w:shd w:val="clear" w:color="auto" w:fill="FFFFFF" w:themeFill="background1"/>
            <w:hideMark/>
          </w:tcPr>
          <w:p w14:paraId="7AE9D5F1" w14:textId="77777777" w:rsidR="0069778B" w:rsidRPr="00E06707" w:rsidRDefault="0069778B">
            <w:pPr>
              <w:rPr>
                <w:rFonts w:ascii="Calibri" w:hAnsi="Calibri" w:cs="Arial"/>
              </w:rPr>
            </w:pPr>
            <w:r w:rsidRPr="00E06707">
              <w:rPr>
                <w:rFonts w:ascii="Calibri" w:hAnsi="Calibri" w:cs="Arial"/>
              </w:rPr>
              <w:t xml:space="preserve">Measure and evaluate the implementation of key guidelines and practice on patients, carers, families, the community and the workforce </w:t>
            </w:r>
          </w:p>
        </w:tc>
        <w:tc>
          <w:tcPr>
            <w:tcW w:w="6520" w:type="dxa"/>
            <w:shd w:val="clear" w:color="auto" w:fill="FFFFFF" w:themeFill="background1"/>
            <w:hideMark/>
          </w:tcPr>
          <w:p w14:paraId="3F5F71EB" w14:textId="2EE808D2" w:rsidR="0069778B" w:rsidRDefault="0069778B" w:rsidP="00E06707">
            <w:pPr>
              <w:pStyle w:val="ListParagraph"/>
              <w:numPr>
                <w:ilvl w:val="0"/>
                <w:numId w:val="4"/>
              </w:numPr>
              <w:rPr>
                <w:rFonts w:ascii="Calibri" w:hAnsi="Calibri" w:cs="Arial"/>
              </w:rPr>
            </w:pPr>
            <w:r w:rsidRPr="00E06707">
              <w:rPr>
                <w:rFonts w:ascii="Calibri" w:hAnsi="Calibri" w:cs="Arial"/>
              </w:rPr>
              <w:t>All new and</w:t>
            </w:r>
            <w:r>
              <w:rPr>
                <w:rFonts w:ascii="Calibri" w:hAnsi="Calibri" w:cs="Arial"/>
              </w:rPr>
              <w:t xml:space="preserve"> revised standards implemented.</w:t>
            </w:r>
          </w:p>
          <w:p w14:paraId="662E80F0" w14:textId="77777777" w:rsidR="0069778B" w:rsidRDefault="0069778B" w:rsidP="00E06707">
            <w:pPr>
              <w:pStyle w:val="ListParagraph"/>
              <w:numPr>
                <w:ilvl w:val="0"/>
                <w:numId w:val="4"/>
              </w:numPr>
              <w:rPr>
                <w:rFonts w:ascii="Calibri" w:hAnsi="Calibri" w:cs="Arial"/>
              </w:rPr>
            </w:pPr>
            <w:r w:rsidRPr="00E06707">
              <w:rPr>
                <w:rFonts w:ascii="Calibri" w:hAnsi="Calibri" w:cs="Arial"/>
              </w:rPr>
              <w:t>Diversity Coordinator completed Health Literacy training with Enliven and information gathered t</w:t>
            </w:r>
            <w:r>
              <w:rPr>
                <w:rFonts w:ascii="Calibri" w:hAnsi="Calibri" w:cs="Arial"/>
              </w:rPr>
              <w:t xml:space="preserve">o inform baseline assessment. </w:t>
            </w:r>
          </w:p>
          <w:p w14:paraId="3010B1D5" w14:textId="77777777" w:rsidR="0069778B" w:rsidRDefault="0069778B" w:rsidP="00E06707">
            <w:pPr>
              <w:pStyle w:val="ListParagraph"/>
              <w:numPr>
                <w:ilvl w:val="0"/>
                <w:numId w:val="4"/>
              </w:numPr>
              <w:rPr>
                <w:rFonts w:ascii="Calibri" w:hAnsi="Calibri" w:cs="Arial"/>
              </w:rPr>
            </w:pPr>
            <w:r w:rsidRPr="00E06707">
              <w:rPr>
                <w:rFonts w:ascii="Calibri" w:hAnsi="Calibri" w:cs="Arial"/>
              </w:rPr>
              <w:t>Staff and consumer representatives were surveyed regarding the current Consumer Information Committee processes which are guided by the Patient</w:t>
            </w:r>
            <w:r>
              <w:rPr>
                <w:rFonts w:ascii="Calibri" w:hAnsi="Calibri" w:cs="Arial"/>
              </w:rPr>
              <w:t xml:space="preserve"> Education Material Guideline.</w:t>
            </w:r>
          </w:p>
          <w:p w14:paraId="79694780" w14:textId="42B7A073" w:rsidR="0069778B" w:rsidRDefault="0069778B" w:rsidP="00E06707">
            <w:pPr>
              <w:pStyle w:val="ListParagraph"/>
              <w:numPr>
                <w:ilvl w:val="0"/>
                <w:numId w:val="4"/>
              </w:numPr>
              <w:rPr>
                <w:rFonts w:ascii="Calibri" w:hAnsi="Calibri" w:cs="Arial"/>
              </w:rPr>
            </w:pPr>
            <w:r>
              <w:rPr>
                <w:rFonts w:ascii="Calibri" w:hAnsi="Calibri" w:cs="Arial"/>
              </w:rPr>
              <w:t xml:space="preserve">Benchmarked </w:t>
            </w:r>
            <w:r w:rsidRPr="00E06707">
              <w:rPr>
                <w:rFonts w:ascii="Calibri" w:hAnsi="Calibri" w:cs="Arial"/>
              </w:rPr>
              <w:t>practice for patient education material with other health services which has informed review of the Patient Education Material Guideline and governance o</w:t>
            </w:r>
            <w:r>
              <w:rPr>
                <w:rFonts w:ascii="Calibri" w:hAnsi="Calibri" w:cs="Arial"/>
              </w:rPr>
              <w:t xml:space="preserve">f patient education material. </w:t>
            </w:r>
          </w:p>
          <w:p w14:paraId="2CBB6A5D" w14:textId="77777777" w:rsidR="0069778B" w:rsidRDefault="0069778B" w:rsidP="00E06707">
            <w:pPr>
              <w:pStyle w:val="ListParagraph"/>
              <w:numPr>
                <w:ilvl w:val="0"/>
                <w:numId w:val="4"/>
              </w:numPr>
              <w:rPr>
                <w:rFonts w:ascii="Calibri" w:hAnsi="Calibri" w:cs="Arial"/>
              </w:rPr>
            </w:pPr>
            <w:r w:rsidRPr="00E06707">
              <w:rPr>
                <w:rFonts w:ascii="Calibri" w:hAnsi="Calibri" w:cs="Arial"/>
              </w:rPr>
              <w:t xml:space="preserve">Health Literacy Standard reviewed </w:t>
            </w:r>
            <w:r>
              <w:rPr>
                <w:rFonts w:ascii="Calibri" w:hAnsi="Calibri" w:cs="Arial"/>
              </w:rPr>
              <w:t>and approved in November 2023.</w:t>
            </w:r>
          </w:p>
          <w:p w14:paraId="17E7E11A" w14:textId="10D7CB33" w:rsidR="0069778B" w:rsidRDefault="0069778B" w:rsidP="00E06707">
            <w:pPr>
              <w:pStyle w:val="ListParagraph"/>
              <w:numPr>
                <w:ilvl w:val="0"/>
                <w:numId w:val="4"/>
              </w:numPr>
              <w:rPr>
                <w:rFonts w:ascii="Calibri" w:hAnsi="Calibri" w:cs="Arial"/>
              </w:rPr>
            </w:pPr>
            <w:r>
              <w:rPr>
                <w:rFonts w:ascii="Calibri" w:hAnsi="Calibri" w:cs="Arial"/>
              </w:rPr>
              <w:t>Roll</w:t>
            </w:r>
            <w:r w:rsidRPr="00E06707">
              <w:rPr>
                <w:rFonts w:ascii="Calibri" w:hAnsi="Calibri" w:cs="Arial"/>
              </w:rPr>
              <w:t xml:space="preserve"> out of Effective Clinical Communication training over the last 24 months has supported staff understanding of tools such as</w:t>
            </w:r>
            <w:r>
              <w:rPr>
                <w:rFonts w:ascii="Calibri" w:hAnsi="Calibri" w:cs="Arial"/>
              </w:rPr>
              <w:t xml:space="preserve"> Teach Back.</w:t>
            </w:r>
          </w:p>
          <w:p w14:paraId="6C9F5C66" w14:textId="69B86EE0" w:rsidR="0069778B" w:rsidRDefault="0069778B" w:rsidP="00E06707">
            <w:pPr>
              <w:pStyle w:val="ListParagraph"/>
              <w:numPr>
                <w:ilvl w:val="0"/>
                <w:numId w:val="4"/>
              </w:numPr>
              <w:rPr>
                <w:rFonts w:ascii="Calibri" w:hAnsi="Calibri" w:cs="Arial"/>
              </w:rPr>
            </w:pPr>
            <w:r w:rsidRPr="00E06707">
              <w:rPr>
                <w:rFonts w:ascii="Calibri" w:hAnsi="Calibri" w:cs="Arial"/>
              </w:rPr>
              <w:t>Roll out of the Check Back and Question Builder tools to su</w:t>
            </w:r>
            <w:r>
              <w:rPr>
                <w:rFonts w:ascii="Calibri" w:hAnsi="Calibri" w:cs="Arial"/>
              </w:rPr>
              <w:t>pport patient health literacy.</w:t>
            </w:r>
          </w:p>
          <w:p w14:paraId="77C17456" w14:textId="1B5024C5" w:rsidR="0069778B" w:rsidRPr="00E06707" w:rsidRDefault="0069778B" w:rsidP="00E06707">
            <w:pPr>
              <w:pStyle w:val="ListParagraph"/>
              <w:numPr>
                <w:ilvl w:val="0"/>
                <w:numId w:val="4"/>
              </w:numPr>
              <w:rPr>
                <w:rFonts w:ascii="Calibri" w:hAnsi="Calibri" w:cs="Arial"/>
              </w:rPr>
            </w:pPr>
            <w:r w:rsidRPr="00E06707">
              <w:rPr>
                <w:rFonts w:ascii="Calibri" w:hAnsi="Calibri" w:cs="Arial"/>
              </w:rPr>
              <w:t>No formal evaluation or measurement of the implementation of key guidelines and practice on patients.</w:t>
            </w:r>
          </w:p>
        </w:tc>
      </w:tr>
      <w:tr w:rsidR="0069778B" w:rsidRPr="00E06707" w14:paraId="28083A12" w14:textId="77777777" w:rsidTr="0069778B">
        <w:trPr>
          <w:trHeight w:val="2400"/>
        </w:trPr>
        <w:tc>
          <w:tcPr>
            <w:tcW w:w="2694" w:type="dxa"/>
            <w:shd w:val="clear" w:color="auto" w:fill="D9D9D9" w:themeFill="background1" w:themeFillShade="D9"/>
            <w:hideMark/>
          </w:tcPr>
          <w:p w14:paraId="5946EE06" w14:textId="77777777" w:rsidR="0069778B" w:rsidRPr="00E06707" w:rsidRDefault="0069778B">
            <w:pPr>
              <w:rPr>
                <w:rFonts w:ascii="Calibri" w:hAnsi="Calibri" w:cs="Arial"/>
              </w:rPr>
            </w:pPr>
            <w:r w:rsidRPr="00E06707">
              <w:rPr>
                <w:rFonts w:ascii="Calibri" w:hAnsi="Calibri" w:cs="Arial"/>
              </w:rPr>
              <w:lastRenderedPageBreak/>
              <w:t>Commence the Partnering with Patients, Families and Carers project which will develop and pilot the future state for clinicians to effectively partner with our patients, families and carers to plan, communicate, set goals and make decisions about their current and future care and identify the required change management, integrated clinical tools, processes, framework and training to implement across Eastern Health</w:t>
            </w:r>
          </w:p>
        </w:tc>
        <w:tc>
          <w:tcPr>
            <w:tcW w:w="2694" w:type="dxa"/>
            <w:shd w:val="clear" w:color="auto" w:fill="D9D9D9" w:themeFill="background1" w:themeFillShade="D9"/>
            <w:hideMark/>
          </w:tcPr>
          <w:p w14:paraId="11264DB3" w14:textId="77777777" w:rsidR="0069778B" w:rsidRPr="00E06707" w:rsidRDefault="0069778B">
            <w:pPr>
              <w:rPr>
                <w:rFonts w:ascii="Calibri" w:hAnsi="Calibri" w:cs="Arial"/>
              </w:rPr>
            </w:pPr>
            <w:r w:rsidRPr="00E06707">
              <w:rPr>
                <w:rFonts w:ascii="Calibri" w:hAnsi="Calibri" w:cs="Arial"/>
              </w:rPr>
              <w:t>Refinement of the Partnering in Healthcare Scorecard of measures to ensure ability to evaluate partnering with patients, families and carers as outlined in all standards and guidelines. Progress the implementation of the Partnering with Patients, Families and Carers project and ensure monitoring of practice is in place</w:t>
            </w:r>
          </w:p>
        </w:tc>
        <w:tc>
          <w:tcPr>
            <w:tcW w:w="2693" w:type="dxa"/>
            <w:shd w:val="clear" w:color="auto" w:fill="D9D9D9" w:themeFill="background1" w:themeFillShade="D9"/>
            <w:hideMark/>
          </w:tcPr>
          <w:p w14:paraId="057F86A0" w14:textId="77777777" w:rsidR="0069778B" w:rsidRPr="00E06707" w:rsidRDefault="0069778B">
            <w:pPr>
              <w:rPr>
                <w:rFonts w:ascii="Calibri" w:hAnsi="Calibri" w:cs="Arial"/>
              </w:rPr>
            </w:pPr>
            <w:r w:rsidRPr="00E06707">
              <w:rPr>
                <w:rFonts w:ascii="Calibri" w:hAnsi="Calibri" w:cs="Arial"/>
              </w:rPr>
              <w:t xml:space="preserve">Continue to improve the partnership models through review and evaluation  </w:t>
            </w:r>
          </w:p>
        </w:tc>
        <w:tc>
          <w:tcPr>
            <w:tcW w:w="6520" w:type="dxa"/>
            <w:shd w:val="clear" w:color="auto" w:fill="D9D9D9" w:themeFill="background1" w:themeFillShade="D9"/>
            <w:hideMark/>
          </w:tcPr>
          <w:p w14:paraId="6F3F17B1" w14:textId="77777777" w:rsidR="0069778B" w:rsidRDefault="0069778B" w:rsidP="00E06707">
            <w:pPr>
              <w:pStyle w:val="ListParagraph"/>
              <w:numPr>
                <w:ilvl w:val="0"/>
                <w:numId w:val="6"/>
              </w:numPr>
              <w:rPr>
                <w:rFonts w:ascii="Calibri" w:hAnsi="Calibri" w:cs="Arial"/>
              </w:rPr>
            </w:pPr>
            <w:r w:rsidRPr="00E06707">
              <w:rPr>
                <w:rFonts w:ascii="Calibri" w:hAnsi="Calibri" w:cs="Arial"/>
              </w:rPr>
              <w:t>Partnering with Patients, Families and Carers project fully implemented and monitoring of ongoing training completed occurs through Partnering in Healthcare Clini</w:t>
            </w:r>
            <w:r>
              <w:rPr>
                <w:rFonts w:ascii="Calibri" w:hAnsi="Calibri" w:cs="Arial"/>
              </w:rPr>
              <w:t>cal Risk Governance Committee.</w:t>
            </w:r>
          </w:p>
          <w:p w14:paraId="74799540" w14:textId="6B2E6E01" w:rsidR="0069778B" w:rsidRPr="00E06707" w:rsidRDefault="0069778B" w:rsidP="00E06707">
            <w:pPr>
              <w:pStyle w:val="ListParagraph"/>
              <w:numPr>
                <w:ilvl w:val="0"/>
                <w:numId w:val="6"/>
              </w:numPr>
              <w:rPr>
                <w:rFonts w:ascii="Calibri" w:hAnsi="Calibri" w:cs="Arial"/>
              </w:rPr>
            </w:pPr>
            <w:r w:rsidRPr="00E06707">
              <w:rPr>
                <w:rFonts w:ascii="Calibri" w:hAnsi="Calibri" w:cs="Arial"/>
              </w:rPr>
              <w:t xml:space="preserve">Monthly Patient Experience report reviewed and number of indicators and analysis changes have been made. Addition of indicator for patient education material added to scorecard. </w:t>
            </w:r>
          </w:p>
          <w:p w14:paraId="244251AA" w14:textId="0A1B528F" w:rsidR="0069778B" w:rsidRDefault="0069778B" w:rsidP="00E06707">
            <w:pPr>
              <w:pStyle w:val="ListParagraph"/>
              <w:numPr>
                <w:ilvl w:val="0"/>
                <w:numId w:val="6"/>
              </w:numPr>
              <w:rPr>
                <w:rFonts w:ascii="Calibri" w:hAnsi="Calibri" w:cs="Arial"/>
              </w:rPr>
            </w:pPr>
            <w:r>
              <w:rPr>
                <w:rFonts w:ascii="Calibri" w:hAnsi="Calibri" w:cs="Arial"/>
              </w:rPr>
              <w:t xml:space="preserve">Addition of </w:t>
            </w:r>
            <w:r w:rsidRPr="00E06707">
              <w:rPr>
                <w:rFonts w:ascii="Calibri" w:hAnsi="Calibri" w:cs="Arial"/>
              </w:rPr>
              <w:t>metric for Consumer Participation Req</w:t>
            </w:r>
            <w:r>
              <w:rPr>
                <w:rFonts w:ascii="Calibri" w:hAnsi="Calibri" w:cs="Arial"/>
              </w:rPr>
              <w:t>uests added to Team Assurance.</w:t>
            </w:r>
          </w:p>
          <w:p w14:paraId="43F80559" w14:textId="4FA8CECE" w:rsidR="0069778B" w:rsidRDefault="0069778B" w:rsidP="00E06707">
            <w:pPr>
              <w:pStyle w:val="ListParagraph"/>
              <w:numPr>
                <w:ilvl w:val="0"/>
                <w:numId w:val="6"/>
              </w:numPr>
              <w:rPr>
                <w:rFonts w:ascii="Calibri" w:hAnsi="Calibri" w:cs="Arial"/>
              </w:rPr>
            </w:pPr>
            <w:r w:rsidRPr="00E06707">
              <w:rPr>
                <w:rFonts w:ascii="Calibri" w:hAnsi="Calibri" w:cs="Arial"/>
              </w:rPr>
              <w:t>Effective Clinical Communication and Shared Decision making training modules have been updated in 2023 to</w:t>
            </w:r>
            <w:r>
              <w:rPr>
                <w:rFonts w:ascii="Calibri" w:hAnsi="Calibri" w:cs="Arial"/>
              </w:rPr>
              <w:t xml:space="preserve"> a more user friendly design.</w:t>
            </w:r>
          </w:p>
          <w:p w14:paraId="4E240BB2" w14:textId="77777777" w:rsidR="0069778B" w:rsidRDefault="0069778B" w:rsidP="00E06707">
            <w:pPr>
              <w:pStyle w:val="ListParagraph"/>
              <w:numPr>
                <w:ilvl w:val="0"/>
                <w:numId w:val="6"/>
              </w:numPr>
              <w:rPr>
                <w:rFonts w:ascii="Calibri" w:hAnsi="Calibri" w:cs="Arial"/>
              </w:rPr>
            </w:pPr>
            <w:r w:rsidRPr="00E06707">
              <w:rPr>
                <w:rFonts w:ascii="Calibri" w:hAnsi="Calibri" w:cs="Arial"/>
              </w:rPr>
              <w:t>Facilitated training sessions have continued throughout 2023 with very positive feedback p</w:t>
            </w:r>
            <w:r>
              <w:rPr>
                <w:rFonts w:ascii="Calibri" w:hAnsi="Calibri" w:cs="Arial"/>
              </w:rPr>
              <w:t>rovided in evaluation surveys.</w:t>
            </w:r>
          </w:p>
          <w:p w14:paraId="085C5D41" w14:textId="1084B518" w:rsidR="0069778B" w:rsidRPr="00E06707" w:rsidRDefault="0069778B" w:rsidP="00E06707">
            <w:pPr>
              <w:pStyle w:val="ListParagraph"/>
              <w:numPr>
                <w:ilvl w:val="0"/>
                <w:numId w:val="6"/>
              </w:numPr>
              <w:rPr>
                <w:rFonts w:ascii="Calibri" w:hAnsi="Calibri" w:cs="Arial"/>
              </w:rPr>
            </w:pPr>
            <w:r w:rsidRPr="00E06707">
              <w:rPr>
                <w:rFonts w:ascii="Calibri" w:hAnsi="Calibri" w:cs="Arial"/>
              </w:rPr>
              <w:t>Submission for a grant to support pilot of simulated training for Shared Decision-making has been made in November 2023.</w:t>
            </w:r>
          </w:p>
        </w:tc>
      </w:tr>
      <w:tr w:rsidR="0069778B" w:rsidRPr="00E06707" w14:paraId="2238645F" w14:textId="77777777" w:rsidTr="0069778B">
        <w:trPr>
          <w:trHeight w:val="2400"/>
        </w:trPr>
        <w:tc>
          <w:tcPr>
            <w:tcW w:w="2694" w:type="dxa"/>
            <w:shd w:val="clear" w:color="auto" w:fill="FFFFFF" w:themeFill="background1"/>
            <w:hideMark/>
          </w:tcPr>
          <w:p w14:paraId="404BC57B" w14:textId="77777777" w:rsidR="0069778B" w:rsidRPr="00E06707" w:rsidRDefault="0069778B">
            <w:pPr>
              <w:rPr>
                <w:rFonts w:ascii="Calibri" w:hAnsi="Calibri" w:cs="Arial"/>
              </w:rPr>
            </w:pPr>
            <w:r w:rsidRPr="00E06707">
              <w:rPr>
                <w:rFonts w:ascii="Calibri" w:hAnsi="Calibri" w:cs="Arial"/>
              </w:rPr>
              <w:t>Review the Complaints Resolution Standard to be the Patient and Family Feedback Guideline and to be compliant with Health Complaints Commissioner legislation</w:t>
            </w:r>
          </w:p>
        </w:tc>
        <w:tc>
          <w:tcPr>
            <w:tcW w:w="2694" w:type="dxa"/>
            <w:shd w:val="clear" w:color="auto" w:fill="FFFFFF" w:themeFill="background1"/>
            <w:hideMark/>
          </w:tcPr>
          <w:p w14:paraId="35E3CBA9" w14:textId="77777777" w:rsidR="0069778B" w:rsidRPr="00E06707" w:rsidRDefault="0069778B">
            <w:pPr>
              <w:rPr>
                <w:rFonts w:ascii="Calibri" w:hAnsi="Calibri" w:cs="Arial"/>
              </w:rPr>
            </w:pPr>
            <w:r w:rsidRPr="00E06707">
              <w:rPr>
                <w:rFonts w:ascii="Calibri" w:hAnsi="Calibri" w:cs="Arial"/>
              </w:rPr>
              <w:t>Explore opportunities to progress Patient Reported Outcomes</w:t>
            </w:r>
          </w:p>
        </w:tc>
        <w:tc>
          <w:tcPr>
            <w:tcW w:w="2693" w:type="dxa"/>
            <w:shd w:val="clear" w:color="auto" w:fill="FFFFFF" w:themeFill="background1"/>
            <w:hideMark/>
          </w:tcPr>
          <w:p w14:paraId="7F08F346" w14:textId="77777777" w:rsidR="0069778B" w:rsidRPr="00E06707" w:rsidRDefault="0069778B">
            <w:pPr>
              <w:rPr>
                <w:rFonts w:ascii="Calibri" w:hAnsi="Calibri" w:cs="Arial"/>
              </w:rPr>
            </w:pPr>
            <w:r w:rsidRPr="00E06707">
              <w:rPr>
                <w:rFonts w:ascii="Calibri" w:hAnsi="Calibri" w:cs="Arial"/>
              </w:rPr>
              <w:t xml:space="preserve">Commence feasibility pilot of Patient Reported Outcomes </w:t>
            </w:r>
          </w:p>
        </w:tc>
        <w:tc>
          <w:tcPr>
            <w:tcW w:w="6520" w:type="dxa"/>
            <w:shd w:val="clear" w:color="auto" w:fill="FFFFFF" w:themeFill="background1"/>
            <w:hideMark/>
          </w:tcPr>
          <w:p w14:paraId="1569BF51" w14:textId="5AA772E8" w:rsidR="0069778B" w:rsidRPr="00E06707" w:rsidRDefault="0069778B">
            <w:pPr>
              <w:rPr>
                <w:rFonts w:ascii="Calibri" w:hAnsi="Calibri" w:cs="Arial"/>
              </w:rPr>
            </w:pPr>
            <w:r w:rsidRPr="00E06707">
              <w:rPr>
                <w:rFonts w:ascii="Calibri" w:hAnsi="Calibri" w:cs="Arial"/>
              </w:rPr>
              <w:t>Community Health and HARP have gone live with  Patient Activation Measure as part of broader project with EMPHN.</w:t>
            </w:r>
            <w:r w:rsidRPr="00E06707">
              <w:rPr>
                <w:rFonts w:ascii="Calibri" w:hAnsi="Calibri" w:cs="Arial"/>
              </w:rPr>
              <w:br/>
              <w:t>Literature Search completed and plan to conduct analysis of what PROMs are in use at Eastern Health in 2024.</w:t>
            </w:r>
          </w:p>
        </w:tc>
      </w:tr>
      <w:tr w:rsidR="0069778B" w:rsidRPr="00E06707" w14:paraId="4ECC7481" w14:textId="77777777" w:rsidTr="0069778B">
        <w:trPr>
          <w:trHeight w:val="1550"/>
        </w:trPr>
        <w:tc>
          <w:tcPr>
            <w:tcW w:w="2694" w:type="dxa"/>
            <w:shd w:val="clear" w:color="auto" w:fill="D9D9D9" w:themeFill="background1" w:themeFillShade="D9"/>
            <w:hideMark/>
          </w:tcPr>
          <w:p w14:paraId="5842D763" w14:textId="77777777" w:rsidR="0069778B" w:rsidRPr="00E06707" w:rsidRDefault="0069778B">
            <w:pPr>
              <w:rPr>
                <w:rFonts w:ascii="Calibri" w:hAnsi="Calibri" w:cs="Arial"/>
              </w:rPr>
            </w:pPr>
            <w:r w:rsidRPr="00E06707">
              <w:rPr>
                <w:rFonts w:ascii="Calibri" w:hAnsi="Calibri" w:cs="Arial"/>
              </w:rPr>
              <w:lastRenderedPageBreak/>
              <w:t xml:space="preserve">Review Guide for Authors: Developing Health Information </w:t>
            </w:r>
          </w:p>
        </w:tc>
        <w:tc>
          <w:tcPr>
            <w:tcW w:w="2694" w:type="dxa"/>
            <w:shd w:val="clear" w:color="auto" w:fill="D9D9D9" w:themeFill="background1" w:themeFillShade="D9"/>
            <w:hideMark/>
          </w:tcPr>
          <w:p w14:paraId="174DDCB7" w14:textId="77777777" w:rsidR="0069778B" w:rsidRPr="00E06707" w:rsidRDefault="0069778B">
            <w:pPr>
              <w:rPr>
                <w:rFonts w:ascii="Calibri" w:hAnsi="Calibri" w:cs="Arial"/>
              </w:rPr>
            </w:pPr>
            <w:r w:rsidRPr="00E06707">
              <w:rPr>
                <w:rFonts w:ascii="Calibri" w:hAnsi="Calibri" w:cs="Arial"/>
              </w:rPr>
              <w:t>Embed identification of patient information requirements and resources into clinical stream Appropriate and Effective Care plans. Support clinical streams to prioritise and develop patient information resources</w:t>
            </w:r>
          </w:p>
        </w:tc>
        <w:tc>
          <w:tcPr>
            <w:tcW w:w="2693" w:type="dxa"/>
            <w:shd w:val="clear" w:color="auto" w:fill="D9D9D9" w:themeFill="background1" w:themeFillShade="D9"/>
            <w:hideMark/>
          </w:tcPr>
          <w:p w14:paraId="2119139A" w14:textId="77777777" w:rsidR="0069778B" w:rsidRPr="00E06707" w:rsidRDefault="0069778B">
            <w:pPr>
              <w:rPr>
                <w:rFonts w:ascii="Calibri" w:hAnsi="Calibri" w:cs="Arial"/>
              </w:rPr>
            </w:pPr>
            <w:r w:rsidRPr="00E06707">
              <w:rPr>
                <w:rFonts w:ascii="Calibri" w:hAnsi="Calibri" w:cs="Arial"/>
              </w:rPr>
              <w:t xml:space="preserve">Ensure all patient-related health information is consolidated into the Integrated Quality System. Consider alternative delivery mechanisms for patient information (i.e. audio and/or video) and accessibility (e.g. via Internet or other systems) </w:t>
            </w:r>
          </w:p>
        </w:tc>
        <w:tc>
          <w:tcPr>
            <w:tcW w:w="6520" w:type="dxa"/>
            <w:shd w:val="clear" w:color="auto" w:fill="D9D9D9" w:themeFill="background1" w:themeFillShade="D9"/>
            <w:hideMark/>
          </w:tcPr>
          <w:p w14:paraId="31FA9070" w14:textId="6C801D3B" w:rsidR="0069778B" w:rsidRDefault="0069778B" w:rsidP="00E06707">
            <w:pPr>
              <w:pStyle w:val="ListParagraph"/>
              <w:numPr>
                <w:ilvl w:val="0"/>
                <w:numId w:val="8"/>
              </w:numPr>
              <w:rPr>
                <w:rFonts w:ascii="Calibri" w:hAnsi="Calibri" w:cs="Arial"/>
              </w:rPr>
            </w:pPr>
            <w:r>
              <w:rPr>
                <w:rFonts w:ascii="Calibri" w:hAnsi="Calibri" w:cs="Arial"/>
              </w:rPr>
              <w:t>T</w:t>
            </w:r>
            <w:r w:rsidRPr="00E06707">
              <w:rPr>
                <w:rFonts w:ascii="Calibri" w:hAnsi="Calibri" w:cs="Arial"/>
              </w:rPr>
              <w:t>here is now visibility of patient education material requiring review</w:t>
            </w:r>
            <w:r>
              <w:rPr>
                <w:rFonts w:ascii="Calibri" w:hAnsi="Calibri" w:cs="Arial"/>
              </w:rPr>
              <w:t xml:space="preserve"> through Clinical Governance Scorecard</w:t>
            </w:r>
            <w:r w:rsidRPr="00E06707">
              <w:rPr>
                <w:rFonts w:ascii="Calibri" w:hAnsi="Calibri" w:cs="Arial"/>
              </w:rPr>
              <w:t>. Changes to Patient Education Material Governance will require Clinical Str</w:t>
            </w:r>
            <w:r>
              <w:rPr>
                <w:rFonts w:ascii="Calibri" w:hAnsi="Calibri" w:cs="Arial"/>
              </w:rPr>
              <w:t>eams to have more involvement.</w:t>
            </w:r>
          </w:p>
          <w:p w14:paraId="32EC75A4" w14:textId="77777777" w:rsidR="0069778B" w:rsidRDefault="0069778B" w:rsidP="00E06707">
            <w:pPr>
              <w:pStyle w:val="ListParagraph"/>
              <w:numPr>
                <w:ilvl w:val="0"/>
                <w:numId w:val="8"/>
              </w:numPr>
              <w:rPr>
                <w:rFonts w:ascii="Calibri" w:hAnsi="Calibri" w:cs="Arial"/>
              </w:rPr>
            </w:pPr>
            <w:r w:rsidRPr="00E06707">
              <w:rPr>
                <w:rFonts w:ascii="Calibri" w:hAnsi="Calibri" w:cs="Arial"/>
              </w:rPr>
              <w:t>Patient Education material remains on Objectify as Integrated Q</w:t>
            </w:r>
            <w:r>
              <w:rPr>
                <w:rFonts w:ascii="Calibri" w:hAnsi="Calibri" w:cs="Arial"/>
              </w:rPr>
              <w:t>uality System did not proceed.</w:t>
            </w:r>
          </w:p>
          <w:p w14:paraId="5A11BA7C" w14:textId="06B0424F" w:rsidR="0069778B" w:rsidRPr="00E06707" w:rsidRDefault="0069778B" w:rsidP="00E06707">
            <w:pPr>
              <w:pStyle w:val="ListParagraph"/>
              <w:numPr>
                <w:ilvl w:val="0"/>
                <w:numId w:val="8"/>
              </w:numPr>
              <w:rPr>
                <w:rFonts w:ascii="Calibri" w:hAnsi="Calibri" w:cs="Arial"/>
              </w:rPr>
            </w:pPr>
            <w:r w:rsidRPr="00E06707">
              <w:rPr>
                <w:rFonts w:ascii="Calibri" w:hAnsi="Calibri" w:cs="Arial"/>
              </w:rPr>
              <w:t>Approval gained to progress Patient Education Material to being available via website.  This will continue into 2024. Revised Patient Education Material Guideline to include processes for alternative delivery mechanisms such as video.</w:t>
            </w:r>
          </w:p>
        </w:tc>
      </w:tr>
      <w:tr w:rsidR="0069778B" w:rsidRPr="00E06707" w14:paraId="0543F9BF" w14:textId="77777777" w:rsidTr="0069778B">
        <w:trPr>
          <w:trHeight w:val="557"/>
        </w:trPr>
        <w:tc>
          <w:tcPr>
            <w:tcW w:w="2694" w:type="dxa"/>
            <w:hideMark/>
          </w:tcPr>
          <w:p w14:paraId="11D136BC" w14:textId="77777777" w:rsidR="0069778B" w:rsidRPr="00E06707" w:rsidRDefault="0069778B">
            <w:pPr>
              <w:rPr>
                <w:rFonts w:ascii="Calibri" w:hAnsi="Calibri" w:cs="Arial"/>
              </w:rPr>
            </w:pPr>
            <w:r w:rsidRPr="00E06707">
              <w:rPr>
                <w:rFonts w:ascii="Calibri" w:hAnsi="Calibri" w:cs="Arial"/>
              </w:rPr>
              <w:t>Embed and evaluate the new Patient Experience Survey which will ensure we hear the voice of our patients</w:t>
            </w:r>
          </w:p>
        </w:tc>
        <w:tc>
          <w:tcPr>
            <w:tcW w:w="2694" w:type="dxa"/>
            <w:hideMark/>
          </w:tcPr>
          <w:p w14:paraId="222D72C3" w14:textId="77777777" w:rsidR="0069778B" w:rsidRPr="00E06707" w:rsidRDefault="0069778B">
            <w:pPr>
              <w:rPr>
                <w:rFonts w:ascii="Calibri" w:hAnsi="Calibri" w:cs="Arial"/>
              </w:rPr>
            </w:pPr>
            <w:r w:rsidRPr="00E06707">
              <w:rPr>
                <w:rFonts w:ascii="Calibri" w:hAnsi="Calibri" w:cs="Arial"/>
              </w:rPr>
              <w:t>Embed patient experience survey data review into daily and weekly local clinical team meetings. Capture local improvement activities resulting from data review and monitor for trends and opportunities for spread. Routine review of data by Partnering in Healthcare Clinical Risk Governance Committee and Executive for Eastern Health-wide opportunities for improvement</w:t>
            </w:r>
          </w:p>
        </w:tc>
        <w:tc>
          <w:tcPr>
            <w:tcW w:w="2693" w:type="dxa"/>
            <w:hideMark/>
          </w:tcPr>
          <w:p w14:paraId="4498599D" w14:textId="77777777" w:rsidR="0069778B" w:rsidRPr="00E06707" w:rsidRDefault="0069778B">
            <w:pPr>
              <w:rPr>
                <w:rFonts w:ascii="Calibri" w:hAnsi="Calibri" w:cs="Arial"/>
              </w:rPr>
            </w:pPr>
            <w:r w:rsidRPr="00E06707">
              <w:rPr>
                <w:rFonts w:ascii="Calibri" w:hAnsi="Calibri" w:cs="Arial"/>
              </w:rPr>
              <w:t>Embed processes for review of patient experience data over time to ensure improvement</w:t>
            </w:r>
          </w:p>
        </w:tc>
        <w:tc>
          <w:tcPr>
            <w:tcW w:w="6520" w:type="dxa"/>
            <w:hideMark/>
          </w:tcPr>
          <w:p w14:paraId="5FCE7190" w14:textId="2091D970" w:rsidR="0069778B" w:rsidRDefault="0069778B" w:rsidP="00E06707">
            <w:pPr>
              <w:pStyle w:val="ListParagraph"/>
              <w:numPr>
                <w:ilvl w:val="0"/>
                <w:numId w:val="10"/>
              </w:numPr>
              <w:rPr>
                <w:rFonts w:ascii="Calibri" w:hAnsi="Calibri" w:cs="Arial"/>
              </w:rPr>
            </w:pPr>
            <w:r>
              <w:rPr>
                <w:rFonts w:ascii="Calibri" w:hAnsi="Calibri" w:cs="Arial"/>
              </w:rPr>
              <w:t>Patient Experience Survey</w:t>
            </w:r>
            <w:r w:rsidRPr="00E06707">
              <w:rPr>
                <w:rFonts w:ascii="Calibri" w:hAnsi="Calibri" w:cs="Arial"/>
              </w:rPr>
              <w:t xml:space="preserve"> Dashboards now available via intranet for local</w:t>
            </w:r>
            <w:r>
              <w:rPr>
                <w:rFonts w:ascii="Calibri" w:hAnsi="Calibri" w:cs="Arial"/>
              </w:rPr>
              <w:t xml:space="preserve"> ward/department and program level. </w:t>
            </w:r>
          </w:p>
          <w:p w14:paraId="23B2AD69" w14:textId="0840E7FC" w:rsidR="0069778B" w:rsidRPr="00E06707" w:rsidRDefault="0069778B" w:rsidP="00E06707">
            <w:pPr>
              <w:pStyle w:val="ListParagraph"/>
              <w:numPr>
                <w:ilvl w:val="0"/>
                <w:numId w:val="10"/>
              </w:numPr>
              <w:rPr>
                <w:rFonts w:ascii="Calibri" w:hAnsi="Calibri" w:cs="Arial"/>
              </w:rPr>
            </w:pPr>
            <w:r w:rsidRPr="00E06707">
              <w:rPr>
                <w:rFonts w:ascii="Calibri" w:hAnsi="Calibri" w:cs="Arial"/>
              </w:rPr>
              <w:t>The Patient Experience Survey Dashboards provide the mechanism for review of patient experience data over time to ensure improvement.  Ongoing work to continue to ensure this is being undertaken at ward, program, directorate and organisational levels.</w:t>
            </w:r>
          </w:p>
        </w:tc>
      </w:tr>
      <w:tr w:rsidR="0069778B" w:rsidRPr="00E06707" w14:paraId="462028B2" w14:textId="77777777" w:rsidTr="0069778B">
        <w:trPr>
          <w:trHeight w:val="630"/>
        </w:trPr>
        <w:tc>
          <w:tcPr>
            <w:tcW w:w="2694" w:type="dxa"/>
            <w:shd w:val="clear" w:color="auto" w:fill="BFBFBF" w:themeFill="background1" w:themeFillShade="BF"/>
            <w:hideMark/>
          </w:tcPr>
          <w:p w14:paraId="7D034E79" w14:textId="77777777" w:rsidR="0069778B" w:rsidRPr="00E06707" w:rsidRDefault="0069778B">
            <w:pPr>
              <w:rPr>
                <w:rFonts w:ascii="Calibri" w:hAnsi="Calibri" w:cs="Arial"/>
                <w:b/>
                <w:bCs/>
              </w:rPr>
            </w:pPr>
            <w:r w:rsidRPr="00E06707">
              <w:rPr>
                <w:rFonts w:ascii="Calibri" w:hAnsi="Calibri" w:cs="Arial"/>
                <w:b/>
                <w:bCs/>
              </w:rPr>
              <w:lastRenderedPageBreak/>
              <w:t>Year 1</w:t>
            </w:r>
          </w:p>
        </w:tc>
        <w:tc>
          <w:tcPr>
            <w:tcW w:w="2694" w:type="dxa"/>
            <w:shd w:val="clear" w:color="auto" w:fill="BFBFBF" w:themeFill="background1" w:themeFillShade="BF"/>
            <w:hideMark/>
          </w:tcPr>
          <w:p w14:paraId="02E67504" w14:textId="77777777" w:rsidR="0069778B" w:rsidRPr="00E06707" w:rsidRDefault="0069778B">
            <w:pPr>
              <w:rPr>
                <w:rFonts w:ascii="Calibri" w:hAnsi="Calibri" w:cs="Arial"/>
                <w:b/>
                <w:bCs/>
              </w:rPr>
            </w:pPr>
            <w:r w:rsidRPr="00E06707">
              <w:rPr>
                <w:rFonts w:ascii="Calibri" w:hAnsi="Calibri" w:cs="Arial"/>
                <w:b/>
                <w:bCs/>
              </w:rPr>
              <w:t>Year 2</w:t>
            </w:r>
          </w:p>
        </w:tc>
        <w:tc>
          <w:tcPr>
            <w:tcW w:w="2693" w:type="dxa"/>
            <w:shd w:val="clear" w:color="auto" w:fill="BFBFBF" w:themeFill="background1" w:themeFillShade="BF"/>
            <w:hideMark/>
          </w:tcPr>
          <w:p w14:paraId="5E23D412" w14:textId="77777777" w:rsidR="0069778B" w:rsidRPr="00E06707" w:rsidRDefault="0069778B">
            <w:pPr>
              <w:rPr>
                <w:rFonts w:ascii="Calibri" w:hAnsi="Calibri" w:cs="Arial"/>
                <w:b/>
                <w:bCs/>
              </w:rPr>
            </w:pPr>
            <w:r w:rsidRPr="00E06707">
              <w:rPr>
                <w:rFonts w:ascii="Calibri" w:hAnsi="Calibri" w:cs="Arial"/>
                <w:b/>
                <w:bCs/>
              </w:rPr>
              <w:t>Year 3</w:t>
            </w:r>
          </w:p>
        </w:tc>
        <w:tc>
          <w:tcPr>
            <w:tcW w:w="6520" w:type="dxa"/>
            <w:shd w:val="clear" w:color="auto" w:fill="95B3D7" w:themeFill="accent1" w:themeFillTint="99"/>
            <w:hideMark/>
          </w:tcPr>
          <w:p w14:paraId="1F8BAA88" w14:textId="77777777" w:rsidR="0069778B" w:rsidRPr="00E06707" w:rsidRDefault="0069778B" w:rsidP="00E06707">
            <w:pPr>
              <w:rPr>
                <w:rFonts w:ascii="Calibri" w:hAnsi="Calibri" w:cs="Arial"/>
                <w:b/>
                <w:bCs/>
              </w:rPr>
            </w:pPr>
            <w:r w:rsidRPr="00E06707">
              <w:rPr>
                <w:rFonts w:ascii="Calibri" w:hAnsi="Calibri" w:cs="Arial"/>
                <w:b/>
                <w:bCs/>
              </w:rPr>
              <w:t>Overall Status</w:t>
            </w:r>
          </w:p>
        </w:tc>
      </w:tr>
      <w:tr w:rsidR="0069778B" w:rsidRPr="00E06707" w14:paraId="4C6872EB" w14:textId="77777777" w:rsidTr="0069778B">
        <w:trPr>
          <w:trHeight w:val="699"/>
        </w:trPr>
        <w:tc>
          <w:tcPr>
            <w:tcW w:w="2694" w:type="dxa"/>
            <w:hideMark/>
          </w:tcPr>
          <w:p w14:paraId="5AC5FEEB" w14:textId="77777777" w:rsidR="0069778B" w:rsidRPr="00E06707" w:rsidRDefault="0069778B">
            <w:pPr>
              <w:rPr>
                <w:rFonts w:ascii="Calibri" w:hAnsi="Calibri" w:cs="Arial"/>
              </w:rPr>
            </w:pPr>
            <w:r w:rsidRPr="00E06707">
              <w:rPr>
                <w:rFonts w:ascii="Calibri" w:hAnsi="Calibri" w:cs="Arial"/>
              </w:rPr>
              <w:t>Build capacity of staff on co-designing with consumers by developing a new Co-design with Consumers Guideline and associated tools and resources</w:t>
            </w:r>
          </w:p>
        </w:tc>
        <w:tc>
          <w:tcPr>
            <w:tcW w:w="2694" w:type="dxa"/>
            <w:hideMark/>
          </w:tcPr>
          <w:p w14:paraId="78D1576F" w14:textId="77777777" w:rsidR="0069778B" w:rsidRPr="00E06707" w:rsidRDefault="0069778B">
            <w:pPr>
              <w:rPr>
                <w:rFonts w:ascii="Calibri" w:hAnsi="Calibri" w:cs="Arial"/>
              </w:rPr>
            </w:pPr>
            <w:r w:rsidRPr="00E06707">
              <w:rPr>
                <w:rFonts w:ascii="Calibri" w:hAnsi="Calibri" w:cs="Arial"/>
              </w:rPr>
              <w:t xml:space="preserve">Identify one area to pilot the process in depth and PDSA prior to full roll out. Develop measures of success for co-design </w:t>
            </w:r>
          </w:p>
        </w:tc>
        <w:tc>
          <w:tcPr>
            <w:tcW w:w="2693" w:type="dxa"/>
            <w:hideMark/>
          </w:tcPr>
          <w:p w14:paraId="121423E7" w14:textId="77777777" w:rsidR="0069778B" w:rsidRPr="00E06707" w:rsidRDefault="0069778B">
            <w:pPr>
              <w:rPr>
                <w:rFonts w:ascii="Calibri" w:hAnsi="Calibri" w:cs="Arial"/>
              </w:rPr>
            </w:pPr>
            <w:r w:rsidRPr="00E06707">
              <w:rPr>
                <w:rFonts w:ascii="Calibri" w:hAnsi="Calibri" w:cs="Arial"/>
              </w:rPr>
              <w:t>Measure and evaluate capacity of staff to co-design with consumers and the impact of consumer co-design practices. Monitor outcomes from co-design initiatives</w:t>
            </w:r>
            <w:r w:rsidRPr="00E06707">
              <w:rPr>
                <w:rFonts w:ascii="Calibri" w:hAnsi="Calibri" w:cs="Arial"/>
              </w:rPr>
              <w:br/>
              <w:t xml:space="preserve">Implementation of guidelines including associated tools and resources across the whole of Eastern Health </w:t>
            </w:r>
          </w:p>
        </w:tc>
        <w:tc>
          <w:tcPr>
            <w:tcW w:w="6520" w:type="dxa"/>
            <w:noWrap/>
            <w:hideMark/>
          </w:tcPr>
          <w:p w14:paraId="041264F0" w14:textId="77777777" w:rsidR="0069778B" w:rsidRDefault="0069778B">
            <w:pPr>
              <w:rPr>
                <w:rFonts w:ascii="Calibri" w:hAnsi="Calibri" w:cs="Arial"/>
              </w:rPr>
            </w:pPr>
            <w:r>
              <w:rPr>
                <w:rFonts w:ascii="Calibri" w:hAnsi="Calibri" w:cs="Arial"/>
              </w:rPr>
              <w:t xml:space="preserve">Guideline and associated tools developed and implemented.  </w:t>
            </w:r>
          </w:p>
          <w:p w14:paraId="29B22205" w14:textId="182CA714" w:rsidR="0069778B" w:rsidRPr="00E06707" w:rsidRDefault="0069778B">
            <w:pPr>
              <w:rPr>
                <w:rFonts w:ascii="Calibri" w:hAnsi="Calibri" w:cs="Arial"/>
              </w:rPr>
            </w:pPr>
            <w:r w:rsidRPr="00E06707">
              <w:rPr>
                <w:rFonts w:ascii="Calibri" w:hAnsi="Calibri" w:cs="Arial"/>
              </w:rPr>
              <w:t xml:space="preserve">This remains a priority to be carried into 2024. </w:t>
            </w:r>
          </w:p>
        </w:tc>
      </w:tr>
      <w:tr w:rsidR="0069778B" w:rsidRPr="00E06707" w14:paraId="02BCADBE" w14:textId="77777777" w:rsidTr="0069778B">
        <w:trPr>
          <w:trHeight w:val="699"/>
        </w:trPr>
        <w:tc>
          <w:tcPr>
            <w:tcW w:w="2694" w:type="dxa"/>
            <w:shd w:val="clear" w:color="auto" w:fill="D9D9D9" w:themeFill="background1" w:themeFillShade="D9"/>
            <w:hideMark/>
          </w:tcPr>
          <w:p w14:paraId="40895B74" w14:textId="77777777" w:rsidR="0069778B" w:rsidRPr="00E06707" w:rsidRDefault="0069778B">
            <w:pPr>
              <w:rPr>
                <w:rFonts w:ascii="Calibri" w:hAnsi="Calibri" w:cs="Arial"/>
              </w:rPr>
            </w:pPr>
            <w:r w:rsidRPr="00E06707">
              <w:rPr>
                <w:rFonts w:ascii="Calibri" w:hAnsi="Calibri" w:cs="Arial"/>
              </w:rPr>
              <w:t>Review Partnering with Consumers Standard and develop a new Guide for staff together with associated tools and resources</w:t>
            </w:r>
          </w:p>
        </w:tc>
        <w:tc>
          <w:tcPr>
            <w:tcW w:w="2694" w:type="dxa"/>
            <w:shd w:val="clear" w:color="auto" w:fill="D9D9D9" w:themeFill="background1" w:themeFillShade="D9"/>
            <w:hideMark/>
          </w:tcPr>
          <w:p w14:paraId="708654B8" w14:textId="77777777" w:rsidR="0069778B" w:rsidRPr="00E06707" w:rsidRDefault="0069778B">
            <w:pPr>
              <w:rPr>
                <w:rFonts w:ascii="Calibri" w:hAnsi="Calibri" w:cs="Arial"/>
              </w:rPr>
            </w:pPr>
            <w:r w:rsidRPr="00E06707">
              <w:rPr>
                <w:rFonts w:ascii="Calibri" w:hAnsi="Calibri" w:cs="Arial"/>
              </w:rPr>
              <w:t>In partnership with consumers from diverse community groups, implement the new guide and provide training to staff so that they enhance their ability to partner with consumers.</w:t>
            </w:r>
          </w:p>
        </w:tc>
        <w:tc>
          <w:tcPr>
            <w:tcW w:w="2693" w:type="dxa"/>
            <w:shd w:val="clear" w:color="auto" w:fill="D9D9D9" w:themeFill="background1" w:themeFillShade="D9"/>
            <w:hideMark/>
          </w:tcPr>
          <w:p w14:paraId="6C6D170B" w14:textId="77777777" w:rsidR="0069778B" w:rsidRPr="00E06707" w:rsidRDefault="0069778B">
            <w:pPr>
              <w:rPr>
                <w:rFonts w:ascii="Calibri" w:hAnsi="Calibri" w:cs="Arial"/>
              </w:rPr>
            </w:pPr>
            <w:r w:rsidRPr="00E06707">
              <w:rPr>
                <w:rFonts w:ascii="Calibri" w:hAnsi="Calibri" w:cs="Arial"/>
              </w:rPr>
              <w:t>Measure and evaluate capacity of staff to partner with consumers and the impact of consumer participation at the service level.</w:t>
            </w:r>
          </w:p>
        </w:tc>
        <w:tc>
          <w:tcPr>
            <w:tcW w:w="6520" w:type="dxa"/>
            <w:shd w:val="clear" w:color="auto" w:fill="D9D9D9" w:themeFill="background1" w:themeFillShade="D9"/>
            <w:hideMark/>
          </w:tcPr>
          <w:p w14:paraId="73950C64" w14:textId="77777777" w:rsidR="0069778B" w:rsidRDefault="0069778B" w:rsidP="00286DF5">
            <w:pPr>
              <w:pStyle w:val="ListParagraph"/>
              <w:numPr>
                <w:ilvl w:val="0"/>
                <w:numId w:val="12"/>
              </w:numPr>
              <w:rPr>
                <w:rFonts w:ascii="Calibri" w:hAnsi="Calibri" w:cs="Arial"/>
              </w:rPr>
            </w:pPr>
            <w:r w:rsidRPr="00286DF5">
              <w:rPr>
                <w:rFonts w:ascii="Calibri" w:hAnsi="Calibri" w:cs="Arial"/>
              </w:rPr>
              <w:t>Partnering with Consumers Standard and guide for st</w:t>
            </w:r>
            <w:r>
              <w:rPr>
                <w:rFonts w:ascii="Calibri" w:hAnsi="Calibri" w:cs="Arial"/>
              </w:rPr>
              <w:t xml:space="preserve">aff reviewed and implemented. </w:t>
            </w:r>
          </w:p>
          <w:p w14:paraId="3019F91C" w14:textId="596DECF6" w:rsidR="0069778B" w:rsidRPr="00286DF5" w:rsidRDefault="0069778B" w:rsidP="00286DF5">
            <w:pPr>
              <w:pStyle w:val="ListParagraph"/>
              <w:numPr>
                <w:ilvl w:val="0"/>
                <w:numId w:val="12"/>
              </w:numPr>
              <w:rPr>
                <w:rFonts w:ascii="Calibri" w:hAnsi="Calibri" w:cs="Arial"/>
              </w:rPr>
            </w:pPr>
            <w:r w:rsidRPr="00286DF5">
              <w:rPr>
                <w:rFonts w:ascii="Calibri" w:hAnsi="Calibri" w:cs="Arial"/>
              </w:rPr>
              <w:t>Annual survey to consumer representatives completed and staff on committees surveyed.  Opportunity exists to complete a more in depth evaluation.</w:t>
            </w:r>
          </w:p>
        </w:tc>
      </w:tr>
      <w:tr w:rsidR="0069778B" w:rsidRPr="00E06707" w14:paraId="3081C502" w14:textId="77777777" w:rsidTr="0069778B">
        <w:trPr>
          <w:trHeight w:val="557"/>
        </w:trPr>
        <w:tc>
          <w:tcPr>
            <w:tcW w:w="2694" w:type="dxa"/>
            <w:hideMark/>
          </w:tcPr>
          <w:p w14:paraId="5413153A" w14:textId="77777777" w:rsidR="0069778B" w:rsidRPr="00E06707" w:rsidRDefault="0069778B">
            <w:pPr>
              <w:rPr>
                <w:rFonts w:ascii="Calibri" w:hAnsi="Calibri" w:cs="Arial"/>
              </w:rPr>
            </w:pPr>
            <w:r w:rsidRPr="00E06707">
              <w:rPr>
                <w:rFonts w:ascii="Calibri" w:hAnsi="Calibri" w:cs="Arial"/>
              </w:rPr>
              <w:t xml:space="preserve">Review resources such as the Consumer Request form to ensure that it includes the requirement for closing the loop of consumer participation </w:t>
            </w:r>
            <w:r w:rsidRPr="00E06707">
              <w:rPr>
                <w:rFonts w:ascii="Calibri" w:hAnsi="Calibri" w:cs="Arial"/>
              </w:rPr>
              <w:lastRenderedPageBreak/>
              <w:t>in the form of a report - “You said, we did”.  This will ensure that we are listening to what our consumers are saying and staff will become skilled in evaluating participation activities</w:t>
            </w:r>
          </w:p>
        </w:tc>
        <w:tc>
          <w:tcPr>
            <w:tcW w:w="2694" w:type="dxa"/>
            <w:hideMark/>
          </w:tcPr>
          <w:p w14:paraId="7B222BD5" w14:textId="77777777" w:rsidR="0069778B" w:rsidRPr="00E06707" w:rsidRDefault="0069778B">
            <w:pPr>
              <w:rPr>
                <w:rFonts w:ascii="Calibri" w:hAnsi="Calibri" w:cs="Arial"/>
              </w:rPr>
            </w:pPr>
            <w:r w:rsidRPr="00E06707">
              <w:rPr>
                <w:rFonts w:ascii="Calibri" w:hAnsi="Calibri" w:cs="Arial"/>
              </w:rPr>
              <w:lastRenderedPageBreak/>
              <w:t>New Request form with consumer feedback loop embedded into standard practice</w:t>
            </w:r>
          </w:p>
        </w:tc>
        <w:tc>
          <w:tcPr>
            <w:tcW w:w="2693" w:type="dxa"/>
            <w:hideMark/>
          </w:tcPr>
          <w:p w14:paraId="68F87B72" w14:textId="77777777" w:rsidR="0069778B" w:rsidRPr="00E06707" w:rsidRDefault="0069778B">
            <w:pPr>
              <w:rPr>
                <w:rFonts w:ascii="Calibri" w:hAnsi="Calibri" w:cs="Arial"/>
              </w:rPr>
            </w:pPr>
            <w:r w:rsidRPr="00E06707">
              <w:rPr>
                <w:rFonts w:ascii="Calibri" w:hAnsi="Calibri" w:cs="Arial"/>
              </w:rPr>
              <w:t>Measure and evaluate the consumer feedback loop and impact at the service level</w:t>
            </w:r>
          </w:p>
        </w:tc>
        <w:tc>
          <w:tcPr>
            <w:tcW w:w="6520" w:type="dxa"/>
            <w:hideMark/>
          </w:tcPr>
          <w:p w14:paraId="1FA4A200" w14:textId="53B83D4F" w:rsidR="0069778B" w:rsidRPr="00E06707" w:rsidRDefault="0069778B">
            <w:pPr>
              <w:rPr>
                <w:rFonts w:ascii="Calibri" w:hAnsi="Calibri" w:cs="Arial"/>
              </w:rPr>
            </w:pPr>
            <w:r w:rsidRPr="00E06707">
              <w:rPr>
                <w:rFonts w:ascii="Calibri" w:hAnsi="Calibri" w:cs="Arial"/>
              </w:rPr>
              <w:t xml:space="preserve">New request form and "You Said, We Did" form implemented but not fully evaluated.  Opportunity exists to explore other avenues for feedback including utilising domains of Partnering in Care. Most staff are aware of the process/those unaware are provided with relevant information. </w:t>
            </w:r>
          </w:p>
        </w:tc>
      </w:tr>
      <w:tr w:rsidR="0069778B" w:rsidRPr="00E06707" w14:paraId="481D7790" w14:textId="77777777" w:rsidTr="0069778B">
        <w:trPr>
          <w:trHeight w:val="630"/>
        </w:trPr>
        <w:tc>
          <w:tcPr>
            <w:tcW w:w="2694" w:type="dxa"/>
            <w:shd w:val="clear" w:color="auto" w:fill="BFBFBF" w:themeFill="background1" w:themeFillShade="BF"/>
            <w:hideMark/>
          </w:tcPr>
          <w:p w14:paraId="4911C359" w14:textId="77777777" w:rsidR="0069778B" w:rsidRPr="00E06707" w:rsidRDefault="0069778B">
            <w:pPr>
              <w:rPr>
                <w:rFonts w:ascii="Calibri" w:hAnsi="Calibri" w:cs="Arial"/>
                <w:b/>
                <w:bCs/>
              </w:rPr>
            </w:pPr>
            <w:r w:rsidRPr="00E06707">
              <w:rPr>
                <w:rFonts w:ascii="Calibri" w:hAnsi="Calibri" w:cs="Arial"/>
                <w:b/>
                <w:bCs/>
              </w:rPr>
              <w:lastRenderedPageBreak/>
              <w:t>Year 1</w:t>
            </w:r>
          </w:p>
        </w:tc>
        <w:tc>
          <w:tcPr>
            <w:tcW w:w="2694" w:type="dxa"/>
            <w:shd w:val="clear" w:color="auto" w:fill="BFBFBF" w:themeFill="background1" w:themeFillShade="BF"/>
            <w:hideMark/>
          </w:tcPr>
          <w:p w14:paraId="497FFF4E" w14:textId="77777777" w:rsidR="0069778B" w:rsidRPr="00E06707" w:rsidRDefault="0069778B">
            <w:pPr>
              <w:rPr>
                <w:rFonts w:ascii="Calibri" w:hAnsi="Calibri" w:cs="Arial"/>
                <w:b/>
                <w:bCs/>
              </w:rPr>
            </w:pPr>
            <w:r w:rsidRPr="00E06707">
              <w:rPr>
                <w:rFonts w:ascii="Calibri" w:hAnsi="Calibri" w:cs="Arial"/>
                <w:b/>
                <w:bCs/>
              </w:rPr>
              <w:t>Year 2</w:t>
            </w:r>
          </w:p>
        </w:tc>
        <w:tc>
          <w:tcPr>
            <w:tcW w:w="2693" w:type="dxa"/>
            <w:shd w:val="clear" w:color="auto" w:fill="BFBFBF" w:themeFill="background1" w:themeFillShade="BF"/>
            <w:hideMark/>
          </w:tcPr>
          <w:p w14:paraId="4E72223C" w14:textId="77777777" w:rsidR="0069778B" w:rsidRPr="00E06707" w:rsidRDefault="0069778B">
            <w:pPr>
              <w:rPr>
                <w:rFonts w:ascii="Calibri" w:hAnsi="Calibri" w:cs="Arial"/>
                <w:b/>
                <w:bCs/>
              </w:rPr>
            </w:pPr>
            <w:r w:rsidRPr="00E06707">
              <w:rPr>
                <w:rFonts w:ascii="Calibri" w:hAnsi="Calibri" w:cs="Arial"/>
                <w:b/>
                <w:bCs/>
              </w:rPr>
              <w:t>Year 3</w:t>
            </w:r>
          </w:p>
        </w:tc>
        <w:tc>
          <w:tcPr>
            <w:tcW w:w="6520" w:type="dxa"/>
            <w:shd w:val="clear" w:color="auto" w:fill="95B3D7" w:themeFill="accent1" w:themeFillTint="99"/>
            <w:hideMark/>
          </w:tcPr>
          <w:p w14:paraId="0B983BE8" w14:textId="77777777" w:rsidR="0069778B" w:rsidRPr="00E06707" w:rsidRDefault="0069778B" w:rsidP="00E06707">
            <w:pPr>
              <w:rPr>
                <w:rFonts w:ascii="Calibri" w:hAnsi="Calibri" w:cs="Arial"/>
                <w:b/>
                <w:bCs/>
              </w:rPr>
            </w:pPr>
            <w:r w:rsidRPr="00E06707">
              <w:rPr>
                <w:rFonts w:ascii="Calibri" w:hAnsi="Calibri" w:cs="Arial"/>
                <w:b/>
                <w:bCs/>
              </w:rPr>
              <w:t>Overall Status</w:t>
            </w:r>
          </w:p>
        </w:tc>
      </w:tr>
      <w:tr w:rsidR="0069778B" w:rsidRPr="00E06707" w14:paraId="10E279D5" w14:textId="77777777" w:rsidTr="0069778B">
        <w:trPr>
          <w:trHeight w:val="699"/>
        </w:trPr>
        <w:tc>
          <w:tcPr>
            <w:tcW w:w="2694" w:type="dxa"/>
            <w:hideMark/>
          </w:tcPr>
          <w:p w14:paraId="2D80AB53" w14:textId="77777777" w:rsidR="0069778B" w:rsidRPr="00E06707" w:rsidRDefault="0069778B">
            <w:pPr>
              <w:rPr>
                <w:rFonts w:ascii="Calibri" w:hAnsi="Calibri" w:cs="Arial"/>
              </w:rPr>
            </w:pPr>
            <w:r w:rsidRPr="00E06707">
              <w:rPr>
                <w:rFonts w:ascii="Calibri" w:hAnsi="Calibri" w:cs="Arial"/>
              </w:rPr>
              <w:t>Working together with the community to ensure that services meet their needs by developing an understanding of what partnering with our community means through a new Standard for Partnering with our Community, associated tools and resources</w:t>
            </w:r>
          </w:p>
        </w:tc>
        <w:tc>
          <w:tcPr>
            <w:tcW w:w="2694" w:type="dxa"/>
            <w:hideMark/>
          </w:tcPr>
          <w:p w14:paraId="3C396B17" w14:textId="77777777" w:rsidR="0069778B" w:rsidRPr="00E06707" w:rsidRDefault="0069778B">
            <w:pPr>
              <w:rPr>
                <w:rFonts w:ascii="Calibri" w:hAnsi="Calibri" w:cs="Arial"/>
              </w:rPr>
            </w:pPr>
            <w:r w:rsidRPr="00E06707">
              <w:rPr>
                <w:rFonts w:ascii="Calibri" w:hAnsi="Calibri" w:cs="Arial"/>
              </w:rPr>
              <w:t>Undertake gap analysis of current Community Partnership activities against the new Standard. Implementation of the new Standard, associated tools and resources commencing with identified gaps and using a risk-based approach</w:t>
            </w:r>
          </w:p>
        </w:tc>
        <w:tc>
          <w:tcPr>
            <w:tcW w:w="2693" w:type="dxa"/>
            <w:hideMark/>
          </w:tcPr>
          <w:p w14:paraId="01CE2654" w14:textId="77777777" w:rsidR="0069778B" w:rsidRPr="00E06707" w:rsidRDefault="0069778B">
            <w:pPr>
              <w:rPr>
                <w:rFonts w:ascii="Calibri" w:hAnsi="Calibri" w:cs="Arial"/>
              </w:rPr>
            </w:pPr>
            <w:r w:rsidRPr="00E06707">
              <w:rPr>
                <w:rFonts w:ascii="Calibri" w:hAnsi="Calibri" w:cs="Arial"/>
              </w:rPr>
              <w:t>Develop measures to evaluate the impact on the organisation. Develop implementation plan to roll out the new Standard across Eastern Health and commence implementation</w:t>
            </w:r>
          </w:p>
        </w:tc>
        <w:tc>
          <w:tcPr>
            <w:tcW w:w="6520" w:type="dxa"/>
            <w:hideMark/>
          </w:tcPr>
          <w:p w14:paraId="03FE3A48" w14:textId="77777777" w:rsidR="0069778B" w:rsidRDefault="0069778B" w:rsidP="00286DF5">
            <w:pPr>
              <w:pStyle w:val="ListParagraph"/>
              <w:numPr>
                <w:ilvl w:val="0"/>
                <w:numId w:val="13"/>
              </w:numPr>
              <w:rPr>
                <w:rFonts w:ascii="Calibri" w:hAnsi="Calibri" w:cs="Arial"/>
              </w:rPr>
            </w:pPr>
            <w:r>
              <w:rPr>
                <w:rFonts w:ascii="Calibri" w:hAnsi="Calibri" w:cs="Arial"/>
              </w:rPr>
              <w:t>New Standard developed.</w:t>
            </w:r>
          </w:p>
          <w:p w14:paraId="4AF5D8E0" w14:textId="77777777" w:rsidR="0069778B" w:rsidRDefault="0069778B" w:rsidP="00286DF5">
            <w:pPr>
              <w:pStyle w:val="ListParagraph"/>
              <w:numPr>
                <w:ilvl w:val="0"/>
                <w:numId w:val="13"/>
              </w:numPr>
              <w:rPr>
                <w:rFonts w:ascii="Calibri" w:hAnsi="Calibri" w:cs="Arial"/>
              </w:rPr>
            </w:pPr>
            <w:r>
              <w:rPr>
                <w:rFonts w:ascii="Calibri" w:hAnsi="Calibri" w:cs="Arial"/>
              </w:rPr>
              <w:t>Gap analysis not completed.</w:t>
            </w:r>
          </w:p>
          <w:p w14:paraId="5CA1173E" w14:textId="6F55D5BE" w:rsidR="0069778B" w:rsidRPr="00286DF5" w:rsidRDefault="0069778B" w:rsidP="00286DF5">
            <w:pPr>
              <w:pStyle w:val="ListParagraph"/>
              <w:numPr>
                <w:ilvl w:val="0"/>
                <w:numId w:val="13"/>
              </w:numPr>
              <w:rPr>
                <w:rFonts w:ascii="Calibri" w:hAnsi="Calibri" w:cs="Arial"/>
              </w:rPr>
            </w:pPr>
            <w:r w:rsidRPr="00286DF5">
              <w:rPr>
                <w:rFonts w:ascii="Calibri" w:hAnsi="Calibri" w:cs="Arial"/>
              </w:rPr>
              <w:t>For consideration of carryover to 2024.</w:t>
            </w:r>
          </w:p>
        </w:tc>
      </w:tr>
      <w:tr w:rsidR="0069778B" w:rsidRPr="00E06707" w14:paraId="70B46EEB" w14:textId="77777777" w:rsidTr="0069778B">
        <w:trPr>
          <w:trHeight w:val="1890"/>
        </w:trPr>
        <w:tc>
          <w:tcPr>
            <w:tcW w:w="2694" w:type="dxa"/>
            <w:shd w:val="clear" w:color="auto" w:fill="D9D9D9" w:themeFill="background1" w:themeFillShade="D9"/>
            <w:hideMark/>
          </w:tcPr>
          <w:p w14:paraId="0895CDD8" w14:textId="77777777" w:rsidR="0069778B" w:rsidRPr="00E06707" w:rsidRDefault="0069778B">
            <w:pPr>
              <w:rPr>
                <w:rFonts w:ascii="Calibri" w:hAnsi="Calibri" w:cs="Arial"/>
              </w:rPr>
            </w:pPr>
            <w:r w:rsidRPr="00E06707">
              <w:rPr>
                <w:rFonts w:ascii="Calibri" w:hAnsi="Calibri" w:cs="Arial"/>
              </w:rPr>
              <w:t xml:space="preserve">Develop a process for community representation and engagement at the Eastern Health sites  </w:t>
            </w:r>
          </w:p>
        </w:tc>
        <w:tc>
          <w:tcPr>
            <w:tcW w:w="2694" w:type="dxa"/>
            <w:shd w:val="clear" w:color="auto" w:fill="D9D9D9" w:themeFill="background1" w:themeFillShade="D9"/>
            <w:hideMark/>
          </w:tcPr>
          <w:p w14:paraId="76068BEA" w14:textId="77777777" w:rsidR="0069778B" w:rsidRPr="00E06707" w:rsidRDefault="0069778B">
            <w:pPr>
              <w:rPr>
                <w:rFonts w:ascii="Calibri" w:hAnsi="Calibri" w:cs="Arial"/>
              </w:rPr>
            </w:pPr>
            <w:r w:rsidRPr="00E06707">
              <w:rPr>
                <w:rFonts w:ascii="Calibri" w:hAnsi="Calibri" w:cs="Arial"/>
              </w:rPr>
              <w:t xml:space="preserve">Implement site-based reference groups. Develop measures that will support progress towards community engagement and participation </w:t>
            </w:r>
          </w:p>
        </w:tc>
        <w:tc>
          <w:tcPr>
            <w:tcW w:w="2693" w:type="dxa"/>
            <w:shd w:val="clear" w:color="auto" w:fill="D9D9D9" w:themeFill="background1" w:themeFillShade="D9"/>
            <w:hideMark/>
          </w:tcPr>
          <w:p w14:paraId="743295E7" w14:textId="77777777" w:rsidR="0069778B" w:rsidRPr="00E06707" w:rsidRDefault="0069778B">
            <w:pPr>
              <w:rPr>
                <w:rFonts w:ascii="Calibri" w:hAnsi="Calibri" w:cs="Arial"/>
              </w:rPr>
            </w:pPr>
            <w:r w:rsidRPr="00E06707">
              <w:rPr>
                <w:rFonts w:ascii="Calibri" w:hAnsi="Calibri" w:cs="Arial"/>
              </w:rPr>
              <w:t>Measure and evaluate efficiency of reference groups and the impact on the organisation</w:t>
            </w:r>
          </w:p>
        </w:tc>
        <w:tc>
          <w:tcPr>
            <w:tcW w:w="6520" w:type="dxa"/>
            <w:shd w:val="clear" w:color="auto" w:fill="D9D9D9" w:themeFill="background1" w:themeFillShade="D9"/>
            <w:noWrap/>
            <w:hideMark/>
          </w:tcPr>
          <w:p w14:paraId="53ADAF89" w14:textId="2378F03F" w:rsidR="0069778B" w:rsidRPr="00E06707" w:rsidRDefault="0069778B">
            <w:pPr>
              <w:rPr>
                <w:rFonts w:ascii="Calibri" w:hAnsi="Calibri" w:cs="Arial"/>
              </w:rPr>
            </w:pPr>
            <w:r w:rsidRPr="00E06707">
              <w:rPr>
                <w:rFonts w:ascii="Calibri" w:hAnsi="Calibri" w:cs="Arial"/>
              </w:rPr>
              <w:t> </w:t>
            </w:r>
            <w:r>
              <w:rPr>
                <w:rFonts w:ascii="Calibri" w:hAnsi="Calibri" w:cs="Arial"/>
              </w:rPr>
              <w:t>Discontinued</w:t>
            </w:r>
          </w:p>
        </w:tc>
      </w:tr>
      <w:tr w:rsidR="0069778B" w:rsidRPr="00E06707" w14:paraId="69180E17" w14:textId="77777777" w:rsidTr="0069778B">
        <w:trPr>
          <w:trHeight w:val="5377"/>
        </w:trPr>
        <w:tc>
          <w:tcPr>
            <w:tcW w:w="2694" w:type="dxa"/>
            <w:hideMark/>
          </w:tcPr>
          <w:p w14:paraId="119016D9" w14:textId="404B43B1" w:rsidR="0069778B" w:rsidRPr="00E06707" w:rsidRDefault="0069778B" w:rsidP="00425DD6">
            <w:pPr>
              <w:rPr>
                <w:rFonts w:ascii="Calibri" w:hAnsi="Calibri" w:cs="Arial"/>
              </w:rPr>
            </w:pPr>
            <w:r w:rsidRPr="00E06707">
              <w:rPr>
                <w:rFonts w:ascii="Calibri" w:hAnsi="Calibri" w:cs="Arial"/>
              </w:rPr>
              <w:lastRenderedPageBreak/>
              <w:t>Establish two-way communication processes with our community to enable E</w:t>
            </w:r>
            <w:r>
              <w:rPr>
                <w:rFonts w:ascii="Calibri" w:hAnsi="Calibri" w:cs="Arial"/>
              </w:rPr>
              <w:t xml:space="preserve">astern Health </w:t>
            </w:r>
            <w:r w:rsidRPr="00E06707">
              <w:rPr>
                <w:rFonts w:ascii="Calibri" w:hAnsi="Calibri" w:cs="Arial"/>
              </w:rPr>
              <w:t>to hear the things that are important through:</w:t>
            </w:r>
            <w:r w:rsidRPr="00E06707">
              <w:rPr>
                <w:rFonts w:ascii="Calibri" w:hAnsi="Calibri" w:cs="Arial"/>
              </w:rPr>
              <w:br/>
              <w:t>1</w:t>
            </w:r>
            <w:r>
              <w:rPr>
                <w:rFonts w:ascii="Calibri" w:hAnsi="Calibri" w:cs="Arial"/>
              </w:rPr>
              <w:t>. community representatives on Community Advisory Committee</w:t>
            </w:r>
            <w:r w:rsidRPr="00E06707">
              <w:rPr>
                <w:rFonts w:ascii="Calibri" w:hAnsi="Calibri" w:cs="Arial"/>
              </w:rPr>
              <w:t xml:space="preserve"> </w:t>
            </w:r>
            <w:r w:rsidRPr="00E06707">
              <w:rPr>
                <w:rFonts w:ascii="Calibri" w:hAnsi="Calibri" w:cs="Arial"/>
              </w:rPr>
              <w:br/>
              <w:t xml:space="preserve">2. developing in partnership with </w:t>
            </w:r>
            <w:r>
              <w:rPr>
                <w:rFonts w:ascii="Calibri" w:hAnsi="Calibri" w:cs="Arial"/>
              </w:rPr>
              <w:t>Community Advisory Committee</w:t>
            </w:r>
            <w:r w:rsidRPr="00E06707">
              <w:rPr>
                <w:rFonts w:ascii="Calibri" w:hAnsi="Calibri" w:cs="Arial"/>
              </w:rPr>
              <w:t xml:space="preserve"> members a web page on the Eastern Health website to seek the broader community input</w:t>
            </w:r>
            <w:r w:rsidRPr="00E06707">
              <w:rPr>
                <w:rFonts w:ascii="Calibri" w:hAnsi="Calibri" w:cs="Arial"/>
              </w:rPr>
              <w:br/>
              <w:t xml:space="preserve">3. continuing to establish relationships with each local government council in primary and secondary catchments including participation on key committees where appropriate, as well as other service providers and community networks.  Collate </w:t>
            </w:r>
            <w:r w:rsidRPr="00E06707">
              <w:rPr>
                <w:rFonts w:ascii="Calibri" w:hAnsi="Calibri" w:cs="Arial"/>
              </w:rPr>
              <w:lastRenderedPageBreak/>
              <w:t>feedback from those relationships to develop partnerships and initiatives</w:t>
            </w:r>
            <w:r w:rsidRPr="00E06707">
              <w:rPr>
                <w:rFonts w:ascii="Calibri" w:hAnsi="Calibri" w:cs="Arial"/>
              </w:rPr>
              <w:br/>
              <w:t>4. Develop a webpage on the Eastern Health website to capture broader community feedback</w:t>
            </w:r>
          </w:p>
        </w:tc>
        <w:tc>
          <w:tcPr>
            <w:tcW w:w="2694" w:type="dxa"/>
            <w:hideMark/>
          </w:tcPr>
          <w:p w14:paraId="5FC9472A" w14:textId="44F8D140" w:rsidR="0069778B" w:rsidRPr="00E06707" w:rsidRDefault="0069778B" w:rsidP="00425DD6">
            <w:pPr>
              <w:rPr>
                <w:rFonts w:ascii="Calibri" w:hAnsi="Calibri" w:cs="Arial"/>
              </w:rPr>
            </w:pPr>
            <w:r w:rsidRPr="00E06707">
              <w:rPr>
                <w:rFonts w:ascii="Calibri" w:hAnsi="Calibri" w:cs="Arial"/>
              </w:rPr>
              <w:lastRenderedPageBreak/>
              <w:t xml:space="preserve">1. Community issues/feedback highlighted by </w:t>
            </w:r>
            <w:r>
              <w:rPr>
                <w:rFonts w:ascii="Calibri" w:hAnsi="Calibri" w:cs="Arial"/>
              </w:rPr>
              <w:t xml:space="preserve">Community Advisory Committee </w:t>
            </w:r>
            <w:r w:rsidRPr="00E06707">
              <w:rPr>
                <w:rFonts w:ascii="Calibri" w:hAnsi="Calibri" w:cs="Arial"/>
              </w:rPr>
              <w:t>members reviewed/</w:t>
            </w:r>
            <w:r>
              <w:rPr>
                <w:rFonts w:ascii="Calibri" w:hAnsi="Calibri" w:cs="Arial"/>
              </w:rPr>
              <w:t xml:space="preserve"> </w:t>
            </w:r>
            <w:r w:rsidRPr="00E06707">
              <w:rPr>
                <w:rFonts w:ascii="Calibri" w:hAnsi="Calibri" w:cs="Arial"/>
              </w:rPr>
              <w:t>discussed</w:t>
            </w:r>
            <w:r w:rsidRPr="00E06707">
              <w:rPr>
                <w:rFonts w:ascii="Calibri" w:hAnsi="Calibri" w:cs="Arial"/>
              </w:rPr>
              <w:br/>
              <w:t>2. Co-design improvement of health literacy of our diverse community, including illness prevention, with diverse partners in the community</w:t>
            </w:r>
            <w:r w:rsidRPr="00E06707">
              <w:rPr>
                <w:rFonts w:ascii="Calibri" w:hAnsi="Calibri" w:cs="Arial"/>
              </w:rPr>
              <w:br/>
              <w:t>3. Collate feedback to include in Community Participation Plan and other improvements</w:t>
            </w:r>
          </w:p>
        </w:tc>
        <w:tc>
          <w:tcPr>
            <w:tcW w:w="2693" w:type="dxa"/>
            <w:hideMark/>
          </w:tcPr>
          <w:p w14:paraId="47BC0946" w14:textId="77777777" w:rsidR="0069778B" w:rsidRPr="00E06707" w:rsidRDefault="0069778B">
            <w:pPr>
              <w:rPr>
                <w:rFonts w:ascii="Calibri" w:hAnsi="Calibri" w:cs="Arial"/>
              </w:rPr>
            </w:pPr>
            <w:r w:rsidRPr="00E06707">
              <w:rPr>
                <w:rFonts w:ascii="Calibri" w:hAnsi="Calibri" w:cs="Arial"/>
              </w:rPr>
              <w:t>Measure and evaluate impact in the community and on the reputation of Eastern Health</w:t>
            </w:r>
          </w:p>
        </w:tc>
        <w:tc>
          <w:tcPr>
            <w:tcW w:w="6520" w:type="dxa"/>
            <w:hideMark/>
          </w:tcPr>
          <w:p w14:paraId="629B30C8" w14:textId="26A0CB97" w:rsidR="0069778B" w:rsidRDefault="0069778B" w:rsidP="00286DF5">
            <w:pPr>
              <w:pStyle w:val="ListParagraph"/>
              <w:numPr>
                <w:ilvl w:val="0"/>
                <w:numId w:val="14"/>
              </w:numPr>
              <w:rPr>
                <w:rFonts w:ascii="Calibri" w:hAnsi="Calibri" w:cs="Arial"/>
              </w:rPr>
            </w:pPr>
            <w:r w:rsidRPr="00286DF5">
              <w:rPr>
                <w:rFonts w:ascii="Calibri" w:hAnsi="Calibri" w:cs="Arial"/>
              </w:rPr>
              <w:t>web page not d</w:t>
            </w:r>
            <w:r>
              <w:rPr>
                <w:rFonts w:ascii="Calibri" w:hAnsi="Calibri" w:cs="Arial"/>
              </w:rPr>
              <w:t>eveloped</w:t>
            </w:r>
          </w:p>
          <w:p w14:paraId="38D7765A" w14:textId="77777777" w:rsidR="0069778B" w:rsidRDefault="0069778B" w:rsidP="00286DF5">
            <w:pPr>
              <w:pStyle w:val="ListParagraph"/>
              <w:numPr>
                <w:ilvl w:val="0"/>
                <w:numId w:val="14"/>
              </w:numPr>
              <w:rPr>
                <w:rFonts w:ascii="Calibri" w:hAnsi="Calibri" w:cs="Arial"/>
              </w:rPr>
            </w:pPr>
            <w:r w:rsidRPr="00286DF5">
              <w:rPr>
                <w:rFonts w:ascii="Calibri" w:hAnsi="Calibri" w:cs="Arial"/>
              </w:rPr>
              <w:t>relationships established w</w:t>
            </w:r>
            <w:r>
              <w:rPr>
                <w:rFonts w:ascii="Calibri" w:hAnsi="Calibri" w:cs="Arial"/>
              </w:rPr>
              <w:t xml:space="preserve">ith local government councils </w:t>
            </w:r>
          </w:p>
          <w:p w14:paraId="0D3AB246" w14:textId="459E6ECA" w:rsidR="0069778B" w:rsidRDefault="0069778B" w:rsidP="00286DF5">
            <w:pPr>
              <w:pStyle w:val="ListParagraph"/>
              <w:numPr>
                <w:ilvl w:val="0"/>
                <w:numId w:val="14"/>
              </w:numPr>
              <w:rPr>
                <w:rFonts w:ascii="Calibri" w:hAnsi="Calibri" w:cs="Arial"/>
              </w:rPr>
            </w:pPr>
            <w:r w:rsidRPr="00286DF5">
              <w:rPr>
                <w:rFonts w:ascii="Calibri" w:hAnsi="Calibri" w:cs="Arial"/>
              </w:rPr>
              <w:t xml:space="preserve">Community issues/feedback highlighted by </w:t>
            </w:r>
            <w:r>
              <w:rPr>
                <w:rFonts w:ascii="Calibri" w:hAnsi="Calibri" w:cs="Arial"/>
              </w:rPr>
              <w:t>Community Advisory Committee</w:t>
            </w:r>
            <w:r w:rsidRPr="00286DF5">
              <w:rPr>
                <w:rFonts w:ascii="Calibri" w:hAnsi="Calibri" w:cs="Arial"/>
              </w:rPr>
              <w:t xml:space="preserve"> members is reviewed and discussed</w:t>
            </w:r>
            <w:r>
              <w:rPr>
                <w:rFonts w:ascii="Calibri" w:hAnsi="Calibri" w:cs="Arial"/>
              </w:rPr>
              <w:t xml:space="preserve"> at Community Advisory Committee meetings</w:t>
            </w:r>
          </w:p>
          <w:p w14:paraId="7F396295" w14:textId="77777777" w:rsidR="0069778B" w:rsidRDefault="0069778B" w:rsidP="00286DF5">
            <w:pPr>
              <w:pStyle w:val="ListParagraph"/>
              <w:numPr>
                <w:ilvl w:val="0"/>
                <w:numId w:val="14"/>
              </w:numPr>
              <w:rPr>
                <w:rFonts w:ascii="Calibri" w:hAnsi="Calibri" w:cs="Arial"/>
              </w:rPr>
            </w:pPr>
            <w:r w:rsidRPr="00286DF5">
              <w:rPr>
                <w:rFonts w:ascii="Calibri" w:hAnsi="Calibri" w:cs="Arial"/>
              </w:rPr>
              <w:t>SCV Heart Collaborative working with consumer/community member re delivery of health promotion sessions &amp;</w:t>
            </w:r>
            <w:r>
              <w:rPr>
                <w:rFonts w:ascii="Calibri" w:hAnsi="Calibri" w:cs="Arial"/>
              </w:rPr>
              <w:t xml:space="preserve"> setting up peer support group</w:t>
            </w:r>
          </w:p>
          <w:p w14:paraId="13BC954E" w14:textId="4D7F1BB3" w:rsidR="0069778B" w:rsidRPr="00286DF5" w:rsidRDefault="0069778B" w:rsidP="00286DF5">
            <w:pPr>
              <w:pStyle w:val="ListParagraph"/>
              <w:numPr>
                <w:ilvl w:val="0"/>
                <w:numId w:val="14"/>
              </w:numPr>
              <w:rPr>
                <w:rFonts w:ascii="Calibri" w:hAnsi="Calibri" w:cs="Arial"/>
              </w:rPr>
            </w:pPr>
            <w:r w:rsidRPr="00286DF5">
              <w:rPr>
                <w:rFonts w:ascii="Calibri" w:hAnsi="Calibri" w:cs="Arial"/>
              </w:rPr>
              <w:t>Feedback from community networks  included in Consumer Participatio</w:t>
            </w:r>
            <w:r>
              <w:rPr>
                <w:rFonts w:ascii="Calibri" w:hAnsi="Calibri" w:cs="Arial"/>
              </w:rPr>
              <w:t>n Report, Quarterly Patient Experience</w:t>
            </w:r>
            <w:r w:rsidRPr="00286DF5">
              <w:rPr>
                <w:rFonts w:ascii="Calibri" w:hAnsi="Calibri" w:cs="Arial"/>
              </w:rPr>
              <w:t xml:space="preserve"> Reports.</w:t>
            </w:r>
          </w:p>
        </w:tc>
      </w:tr>
      <w:tr w:rsidR="0069778B" w:rsidRPr="00286DF5" w14:paraId="1DE7A23E" w14:textId="77777777" w:rsidTr="0069778B">
        <w:trPr>
          <w:trHeight w:val="4500"/>
        </w:trPr>
        <w:tc>
          <w:tcPr>
            <w:tcW w:w="2694" w:type="dxa"/>
            <w:shd w:val="clear" w:color="auto" w:fill="D9D9D9" w:themeFill="background1" w:themeFillShade="D9"/>
            <w:hideMark/>
          </w:tcPr>
          <w:p w14:paraId="6A807503" w14:textId="77777777" w:rsidR="0069778B" w:rsidRPr="00286DF5" w:rsidRDefault="0069778B" w:rsidP="00286DF5">
            <w:pPr>
              <w:rPr>
                <w:rFonts w:ascii="Calibri" w:hAnsi="Calibri" w:cs="Calibri"/>
                <w:color w:val="000000"/>
                <w:sz w:val="22"/>
                <w:szCs w:val="22"/>
              </w:rPr>
            </w:pPr>
            <w:r w:rsidRPr="00286DF5">
              <w:rPr>
                <w:rFonts w:ascii="Calibri" w:hAnsi="Calibri" w:cs="Calibri"/>
                <w:color w:val="000000"/>
                <w:sz w:val="22"/>
                <w:szCs w:val="22"/>
              </w:rPr>
              <w:lastRenderedPageBreak/>
              <w:t>Continue to implement defined programs of work associated with:</w:t>
            </w:r>
            <w:r w:rsidRPr="00286DF5">
              <w:rPr>
                <w:rFonts w:ascii="Calibri" w:hAnsi="Calibri" w:cs="Calibri"/>
                <w:color w:val="000000"/>
                <w:sz w:val="22"/>
                <w:szCs w:val="22"/>
              </w:rPr>
              <w:br/>
              <w:t>• CALD</w:t>
            </w:r>
            <w:r w:rsidRPr="00286DF5">
              <w:rPr>
                <w:rFonts w:ascii="Calibri" w:hAnsi="Calibri" w:cs="Calibri"/>
                <w:color w:val="000000"/>
                <w:sz w:val="22"/>
                <w:szCs w:val="22"/>
              </w:rPr>
              <w:br/>
              <w:t>• Child Safety</w:t>
            </w:r>
            <w:r w:rsidRPr="00286DF5">
              <w:rPr>
                <w:rFonts w:ascii="Calibri" w:hAnsi="Calibri" w:cs="Calibri"/>
                <w:color w:val="000000"/>
                <w:sz w:val="22"/>
                <w:szCs w:val="22"/>
              </w:rPr>
              <w:br/>
              <w:t>• Aboriginal Cultural Safety</w:t>
            </w:r>
            <w:r w:rsidRPr="00286DF5">
              <w:rPr>
                <w:rFonts w:ascii="Calibri" w:hAnsi="Calibri" w:cs="Calibri"/>
                <w:color w:val="000000"/>
                <w:sz w:val="22"/>
                <w:szCs w:val="22"/>
              </w:rPr>
              <w:br/>
              <w:t>• Disability</w:t>
            </w:r>
            <w:r w:rsidRPr="00286DF5">
              <w:rPr>
                <w:rFonts w:ascii="Calibri" w:hAnsi="Calibri" w:cs="Calibri"/>
                <w:color w:val="000000"/>
                <w:sz w:val="22"/>
                <w:szCs w:val="22"/>
              </w:rPr>
              <w:br/>
              <w:t>• Family Violence</w:t>
            </w:r>
            <w:r w:rsidRPr="00286DF5">
              <w:rPr>
                <w:rFonts w:ascii="Calibri" w:hAnsi="Calibri" w:cs="Calibri"/>
                <w:color w:val="000000"/>
                <w:sz w:val="22"/>
                <w:szCs w:val="22"/>
              </w:rPr>
              <w:br/>
              <w:t>• Gender Equity</w:t>
            </w:r>
            <w:r w:rsidRPr="00286DF5">
              <w:rPr>
                <w:rFonts w:ascii="Calibri" w:hAnsi="Calibri" w:cs="Calibri"/>
                <w:color w:val="000000"/>
                <w:sz w:val="22"/>
                <w:szCs w:val="22"/>
              </w:rPr>
              <w:br/>
              <w:t>• LGBTIQA+</w:t>
            </w:r>
            <w:r w:rsidRPr="00286DF5">
              <w:rPr>
                <w:rFonts w:ascii="Calibri" w:hAnsi="Calibri" w:cs="Calibri"/>
                <w:color w:val="000000"/>
                <w:sz w:val="22"/>
                <w:szCs w:val="22"/>
              </w:rPr>
              <w:br/>
              <w:t>• Equity and Inclusion</w:t>
            </w:r>
          </w:p>
        </w:tc>
        <w:tc>
          <w:tcPr>
            <w:tcW w:w="2694" w:type="dxa"/>
            <w:shd w:val="clear" w:color="auto" w:fill="D9D9D9" w:themeFill="background1" w:themeFillShade="D9"/>
            <w:hideMark/>
          </w:tcPr>
          <w:p w14:paraId="5D15D2DF" w14:textId="77777777" w:rsidR="0069778B" w:rsidRPr="00286DF5" w:rsidRDefault="0069778B" w:rsidP="00286DF5">
            <w:pPr>
              <w:rPr>
                <w:rFonts w:ascii="Calibri" w:hAnsi="Calibri" w:cs="Calibri"/>
                <w:color w:val="000000"/>
              </w:rPr>
            </w:pPr>
            <w:r w:rsidRPr="00286DF5">
              <w:rPr>
                <w:rFonts w:ascii="Calibri" w:hAnsi="Calibri" w:cs="Calibri"/>
                <w:color w:val="000000"/>
              </w:rPr>
              <w:t>Undertake gap analysis against the Eastern Health Diversity Wheel and using a risk-based approach identify areas of focus</w:t>
            </w:r>
          </w:p>
        </w:tc>
        <w:tc>
          <w:tcPr>
            <w:tcW w:w="2693" w:type="dxa"/>
            <w:shd w:val="clear" w:color="auto" w:fill="D9D9D9" w:themeFill="background1" w:themeFillShade="D9"/>
            <w:hideMark/>
          </w:tcPr>
          <w:p w14:paraId="2947AC99" w14:textId="77777777" w:rsidR="0069778B" w:rsidRPr="00286DF5" w:rsidRDefault="0069778B" w:rsidP="00286DF5">
            <w:pPr>
              <w:rPr>
                <w:rFonts w:ascii="Calibri" w:hAnsi="Calibri" w:cs="Calibri"/>
                <w:color w:val="000000"/>
              </w:rPr>
            </w:pPr>
            <w:r w:rsidRPr="00286DF5">
              <w:rPr>
                <w:rFonts w:ascii="Calibri" w:hAnsi="Calibri" w:cs="Calibri"/>
                <w:color w:val="000000"/>
              </w:rPr>
              <w:t>Review progress of agreed plans and consider additional priorities</w:t>
            </w:r>
          </w:p>
        </w:tc>
        <w:tc>
          <w:tcPr>
            <w:tcW w:w="6520" w:type="dxa"/>
            <w:shd w:val="clear" w:color="auto" w:fill="D9D9D9" w:themeFill="background1" w:themeFillShade="D9"/>
            <w:hideMark/>
          </w:tcPr>
          <w:p w14:paraId="6BB88D1A" w14:textId="77777777" w:rsidR="0069778B" w:rsidRDefault="0069778B" w:rsidP="00286DF5">
            <w:pPr>
              <w:pStyle w:val="ListParagraph"/>
              <w:numPr>
                <w:ilvl w:val="0"/>
                <w:numId w:val="16"/>
              </w:numPr>
              <w:rPr>
                <w:rFonts w:ascii="Calibri" w:hAnsi="Calibri" w:cs="Calibri"/>
                <w:color w:val="000000"/>
                <w:sz w:val="22"/>
                <w:szCs w:val="22"/>
              </w:rPr>
            </w:pPr>
            <w:r w:rsidRPr="00286DF5">
              <w:rPr>
                <w:rFonts w:ascii="Calibri" w:hAnsi="Calibri" w:cs="Calibri"/>
                <w:color w:val="000000"/>
                <w:sz w:val="22"/>
                <w:szCs w:val="22"/>
              </w:rPr>
              <w:t xml:space="preserve">Diversity, Equity and Inclusion Committee established in 2023.  Working groups continue for: </w:t>
            </w:r>
            <w:r w:rsidRPr="00286DF5">
              <w:rPr>
                <w:rFonts w:ascii="Calibri" w:hAnsi="Calibri" w:cs="Calibri"/>
                <w:color w:val="000000"/>
                <w:sz w:val="22"/>
                <w:szCs w:val="22"/>
              </w:rPr>
              <w:br/>
              <w:t>• Child Safety</w:t>
            </w:r>
            <w:r w:rsidRPr="00286DF5">
              <w:rPr>
                <w:rFonts w:ascii="Calibri" w:hAnsi="Calibri" w:cs="Calibri"/>
                <w:color w:val="000000"/>
                <w:sz w:val="22"/>
                <w:szCs w:val="22"/>
              </w:rPr>
              <w:br/>
              <w:t>• Aboriginal Cultural Safety</w:t>
            </w:r>
            <w:r w:rsidRPr="00286DF5">
              <w:rPr>
                <w:rFonts w:ascii="Calibri" w:hAnsi="Calibri" w:cs="Calibri"/>
                <w:color w:val="000000"/>
                <w:sz w:val="22"/>
                <w:szCs w:val="22"/>
              </w:rPr>
              <w:br/>
              <w:t>• Disability</w:t>
            </w:r>
            <w:r w:rsidRPr="00286DF5">
              <w:rPr>
                <w:rFonts w:ascii="Calibri" w:hAnsi="Calibri" w:cs="Calibri"/>
                <w:color w:val="000000"/>
                <w:sz w:val="22"/>
                <w:szCs w:val="22"/>
              </w:rPr>
              <w:br/>
              <w:t>• Family Violen</w:t>
            </w:r>
            <w:r>
              <w:rPr>
                <w:rFonts w:ascii="Calibri" w:hAnsi="Calibri" w:cs="Calibri"/>
                <w:color w:val="000000"/>
                <w:sz w:val="22"/>
                <w:szCs w:val="22"/>
              </w:rPr>
              <w:t>ce</w:t>
            </w:r>
            <w:r>
              <w:rPr>
                <w:rFonts w:ascii="Calibri" w:hAnsi="Calibri" w:cs="Calibri"/>
                <w:color w:val="000000"/>
                <w:sz w:val="22"/>
                <w:szCs w:val="22"/>
              </w:rPr>
              <w:br/>
              <w:t>• Gender Equity</w:t>
            </w:r>
            <w:r>
              <w:rPr>
                <w:rFonts w:ascii="Calibri" w:hAnsi="Calibri" w:cs="Calibri"/>
                <w:color w:val="000000"/>
                <w:sz w:val="22"/>
                <w:szCs w:val="22"/>
              </w:rPr>
              <w:br/>
              <w:t>• LGBTIQA+</w:t>
            </w:r>
          </w:p>
          <w:p w14:paraId="1E77E08E" w14:textId="77777777" w:rsidR="0069778B" w:rsidRDefault="0069778B" w:rsidP="00286DF5">
            <w:pPr>
              <w:pStyle w:val="ListParagraph"/>
              <w:numPr>
                <w:ilvl w:val="0"/>
                <w:numId w:val="16"/>
              </w:numPr>
              <w:rPr>
                <w:rFonts w:ascii="Calibri" w:hAnsi="Calibri" w:cs="Calibri"/>
                <w:color w:val="000000"/>
                <w:sz w:val="22"/>
                <w:szCs w:val="22"/>
              </w:rPr>
            </w:pPr>
            <w:r w:rsidRPr="00286DF5">
              <w:rPr>
                <w:rFonts w:ascii="Calibri" w:hAnsi="Calibri" w:cs="Calibri"/>
                <w:color w:val="000000"/>
                <w:sz w:val="22"/>
                <w:szCs w:val="22"/>
              </w:rPr>
              <w:t>New Diversity, Equity and Inclusion Committee undertook assessment to identify areas of focus and have established an Imp</w:t>
            </w:r>
            <w:r>
              <w:rPr>
                <w:rFonts w:ascii="Calibri" w:hAnsi="Calibri" w:cs="Calibri"/>
                <w:color w:val="000000"/>
                <w:sz w:val="22"/>
                <w:szCs w:val="22"/>
              </w:rPr>
              <w:t>rovement and Innovation Plan.</w:t>
            </w:r>
          </w:p>
          <w:p w14:paraId="3DB53F86" w14:textId="47262C22" w:rsidR="0069778B" w:rsidRPr="00286DF5" w:rsidRDefault="0069778B" w:rsidP="00286DF5">
            <w:pPr>
              <w:pStyle w:val="ListParagraph"/>
              <w:numPr>
                <w:ilvl w:val="0"/>
                <w:numId w:val="16"/>
              </w:numPr>
              <w:rPr>
                <w:rFonts w:ascii="Calibri" w:hAnsi="Calibri" w:cs="Calibri"/>
                <w:color w:val="000000"/>
                <w:sz w:val="22"/>
                <w:szCs w:val="22"/>
              </w:rPr>
            </w:pPr>
            <w:r w:rsidRPr="00286DF5">
              <w:rPr>
                <w:rFonts w:ascii="Calibri" w:hAnsi="Calibri" w:cs="Calibri"/>
                <w:color w:val="000000"/>
                <w:sz w:val="22"/>
                <w:szCs w:val="22"/>
              </w:rPr>
              <w:t xml:space="preserve">Rainbow </w:t>
            </w:r>
            <w:proofErr w:type="spellStart"/>
            <w:r w:rsidRPr="00286DF5">
              <w:rPr>
                <w:rFonts w:ascii="Calibri" w:hAnsi="Calibri" w:cs="Calibri"/>
                <w:color w:val="000000"/>
                <w:sz w:val="22"/>
                <w:szCs w:val="22"/>
              </w:rPr>
              <w:t>eQuality</w:t>
            </w:r>
            <w:proofErr w:type="spellEnd"/>
            <w:r w:rsidRPr="00286DF5">
              <w:rPr>
                <w:rFonts w:ascii="Calibri" w:hAnsi="Calibri" w:cs="Calibri"/>
                <w:color w:val="000000"/>
                <w:sz w:val="22"/>
                <w:szCs w:val="22"/>
              </w:rPr>
              <w:t xml:space="preserve"> Action Plan and Disability Action Plans reviewed and plans underway to develop next iteration.</w:t>
            </w:r>
          </w:p>
        </w:tc>
      </w:tr>
      <w:tr w:rsidR="0069778B" w:rsidRPr="00286DF5" w14:paraId="552ECF72" w14:textId="77777777" w:rsidTr="0069778B">
        <w:trPr>
          <w:trHeight w:val="699"/>
        </w:trPr>
        <w:tc>
          <w:tcPr>
            <w:tcW w:w="2694" w:type="dxa"/>
            <w:hideMark/>
          </w:tcPr>
          <w:p w14:paraId="2EEB3743" w14:textId="77777777" w:rsidR="0069778B" w:rsidRPr="00286DF5" w:rsidRDefault="0069778B" w:rsidP="00286DF5">
            <w:pPr>
              <w:rPr>
                <w:rFonts w:ascii="Calibri" w:hAnsi="Calibri" w:cs="Calibri"/>
                <w:color w:val="000000"/>
              </w:rPr>
            </w:pPr>
            <w:r w:rsidRPr="00286DF5">
              <w:rPr>
                <w:rFonts w:ascii="Calibri" w:hAnsi="Calibri" w:cs="Calibri"/>
                <w:color w:val="000000"/>
              </w:rPr>
              <w:t>Promote and embed the Equity &amp; Inclusion Standard &amp; associated resources through the new starter orientation process</w:t>
            </w:r>
          </w:p>
        </w:tc>
        <w:tc>
          <w:tcPr>
            <w:tcW w:w="2694" w:type="dxa"/>
            <w:hideMark/>
          </w:tcPr>
          <w:p w14:paraId="10B3CD93" w14:textId="77777777" w:rsidR="0069778B" w:rsidRPr="00286DF5" w:rsidRDefault="0069778B" w:rsidP="00286DF5">
            <w:pPr>
              <w:rPr>
                <w:rFonts w:ascii="Calibri" w:hAnsi="Calibri" w:cs="Calibri"/>
                <w:color w:val="000000"/>
              </w:rPr>
            </w:pPr>
            <w:r w:rsidRPr="00286DF5">
              <w:rPr>
                <w:rFonts w:ascii="Calibri" w:hAnsi="Calibri" w:cs="Calibri"/>
                <w:color w:val="000000"/>
              </w:rPr>
              <w:t xml:space="preserve">Review key indicators of Equity and Inclusion to identify areas for improvement with regard to the agreed Standard   </w:t>
            </w:r>
          </w:p>
        </w:tc>
        <w:tc>
          <w:tcPr>
            <w:tcW w:w="2693" w:type="dxa"/>
            <w:hideMark/>
          </w:tcPr>
          <w:p w14:paraId="5CE237C6" w14:textId="77777777" w:rsidR="0069778B" w:rsidRPr="00286DF5" w:rsidRDefault="0069778B" w:rsidP="00286DF5">
            <w:pPr>
              <w:rPr>
                <w:rFonts w:ascii="Calibri" w:hAnsi="Calibri" w:cs="Calibri"/>
                <w:color w:val="000000"/>
              </w:rPr>
            </w:pPr>
            <w:r w:rsidRPr="00286DF5">
              <w:rPr>
                <w:rFonts w:ascii="Calibri" w:hAnsi="Calibri" w:cs="Calibri"/>
                <w:color w:val="000000"/>
              </w:rPr>
              <w:t>Monitor the indicators and undertake further improvements to meet the Standard</w:t>
            </w:r>
          </w:p>
        </w:tc>
        <w:tc>
          <w:tcPr>
            <w:tcW w:w="6520" w:type="dxa"/>
            <w:hideMark/>
          </w:tcPr>
          <w:p w14:paraId="7B8DF71F" w14:textId="28A9B4A2" w:rsidR="0069778B" w:rsidRDefault="0069778B" w:rsidP="00286DF5">
            <w:pPr>
              <w:pStyle w:val="ListParagraph"/>
              <w:numPr>
                <w:ilvl w:val="0"/>
                <w:numId w:val="18"/>
              </w:numPr>
              <w:rPr>
                <w:rFonts w:ascii="Calibri" w:hAnsi="Calibri" w:cs="Calibri"/>
                <w:color w:val="000000"/>
                <w:sz w:val="22"/>
                <w:szCs w:val="22"/>
              </w:rPr>
            </w:pPr>
            <w:r w:rsidRPr="00286DF5">
              <w:rPr>
                <w:rFonts w:ascii="Calibri" w:hAnsi="Calibri" w:cs="Calibri"/>
                <w:color w:val="000000"/>
                <w:sz w:val="22"/>
                <w:szCs w:val="22"/>
              </w:rPr>
              <w:t>All new starters complete the Equity a</w:t>
            </w:r>
            <w:r>
              <w:rPr>
                <w:rFonts w:ascii="Calibri" w:hAnsi="Calibri" w:cs="Calibri"/>
                <w:color w:val="000000"/>
                <w:sz w:val="22"/>
                <w:szCs w:val="22"/>
              </w:rPr>
              <w:t>nd Inclusion iLearn Training.</w:t>
            </w:r>
          </w:p>
          <w:p w14:paraId="6D8289AF" w14:textId="46A9CF99" w:rsidR="0069778B" w:rsidRPr="00286DF5" w:rsidRDefault="0069778B" w:rsidP="00286DF5">
            <w:pPr>
              <w:pStyle w:val="ListParagraph"/>
              <w:numPr>
                <w:ilvl w:val="0"/>
                <w:numId w:val="18"/>
              </w:numPr>
              <w:rPr>
                <w:rFonts w:ascii="Calibri" w:hAnsi="Calibri" w:cs="Calibri"/>
                <w:color w:val="000000"/>
                <w:sz w:val="22"/>
                <w:szCs w:val="22"/>
              </w:rPr>
            </w:pPr>
            <w:r w:rsidRPr="00286DF5">
              <w:rPr>
                <w:rFonts w:ascii="Calibri" w:hAnsi="Calibri" w:cs="Calibri"/>
                <w:color w:val="000000"/>
                <w:sz w:val="22"/>
                <w:szCs w:val="22"/>
              </w:rPr>
              <w:t>Diversity, Equity and Inclusion Committee has established a scorecard with key indicators to monitor</w:t>
            </w:r>
            <w:r w:rsidRPr="00286DF5">
              <w:rPr>
                <w:rFonts w:ascii="Calibri" w:hAnsi="Calibri" w:cs="Calibri"/>
                <w:color w:val="000000"/>
                <w:sz w:val="22"/>
                <w:szCs w:val="22"/>
              </w:rPr>
              <w:br/>
              <w:t>Diversity, Equity and Inclusion Committee monitors indicators and has revised the Standard in 2023.</w:t>
            </w:r>
          </w:p>
        </w:tc>
      </w:tr>
      <w:tr w:rsidR="0069778B" w:rsidRPr="00286DF5" w14:paraId="402FE166" w14:textId="77777777" w:rsidTr="0069778B">
        <w:trPr>
          <w:trHeight w:val="983"/>
        </w:trPr>
        <w:tc>
          <w:tcPr>
            <w:tcW w:w="2694" w:type="dxa"/>
            <w:shd w:val="clear" w:color="auto" w:fill="D9D9D9" w:themeFill="background1" w:themeFillShade="D9"/>
            <w:hideMark/>
          </w:tcPr>
          <w:p w14:paraId="417A9DDE" w14:textId="77777777" w:rsidR="0069778B" w:rsidRPr="00286DF5" w:rsidRDefault="0069778B" w:rsidP="00286DF5">
            <w:pPr>
              <w:rPr>
                <w:rFonts w:ascii="Calibri" w:hAnsi="Calibri" w:cs="Calibri"/>
                <w:color w:val="000000"/>
              </w:rPr>
            </w:pPr>
            <w:r w:rsidRPr="00286DF5">
              <w:rPr>
                <w:rFonts w:ascii="Calibri" w:hAnsi="Calibri" w:cs="Calibri"/>
                <w:color w:val="000000"/>
              </w:rPr>
              <w:t>Implement and embed the care and support of LGBTIQA+ Guideline</w:t>
            </w:r>
          </w:p>
        </w:tc>
        <w:tc>
          <w:tcPr>
            <w:tcW w:w="2694" w:type="dxa"/>
            <w:shd w:val="clear" w:color="auto" w:fill="D9D9D9" w:themeFill="background1" w:themeFillShade="D9"/>
            <w:hideMark/>
          </w:tcPr>
          <w:p w14:paraId="18072159" w14:textId="77777777" w:rsidR="0069778B" w:rsidRPr="00286DF5" w:rsidRDefault="0069778B" w:rsidP="00286DF5">
            <w:pPr>
              <w:rPr>
                <w:rFonts w:ascii="Calibri" w:hAnsi="Calibri" w:cs="Calibri"/>
                <w:color w:val="000000"/>
              </w:rPr>
            </w:pPr>
            <w:r w:rsidRPr="00286DF5">
              <w:rPr>
                <w:rFonts w:ascii="Calibri" w:hAnsi="Calibri" w:cs="Calibri"/>
                <w:color w:val="000000"/>
              </w:rPr>
              <w:t xml:space="preserve">Review key indicators of a supportive LGBTIQA+ organisation to identify areas for improvement with regard to the agreed Standard   </w:t>
            </w:r>
          </w:p>
        </w:tc>
        <w:tc>
          <w:tcPr>
            <w:tcW w:w="2693" w:type="dxa"/>
            <w:shd w:val="clear" w:color="auto" w:fill="D9D9D9" w:themeFill="background1" w:themeFillShade="D9"/>
            <w:hideMark/>
          </w:tcPr>
          <w:p w14:paraId="649702AF" w14:textId="77777777" w:rsidR="0069778B" w:rsidRPr="00286DF5" w:rsidRDefault="0069778B" w:rsidP="00286DF5">
            <w:pPr>
              <w:rPr>
                <w:rFonts w:ascii="Calibri" w:hAnsi="Calibri" w:cs="Calibri"/>
                <w:color w:val="000000"/>
              </w:rPr>
            </w:pPr>
            <w:r w:rsidRPr="00286DF5">
              <w:rPr>
                <w:rFonts w:ascii="Calibri" w:hAnsi="Calibri" w:cs="Calibri"/>
                <w:color w:val="000000"/>
              </w:rPr>
              <w:t>Monitor the indicators and undertake improvements to meet the Standard</w:t>
            </w:r>
          </w:p>
        </w:tc>
        <w:tc>
          <w:tcPr>
            <w:tcW w:w="6520" w:type="dxa"/>
            <w:shd w:val="clear" w:color="auto" w:fill="D9D9D9" w:themeFill="background1" w:themeFillShade="D9"/>
            <w:hideMark/>
          </w:tcPr>
          <w:p w14:paraId="1B1E9376" w14:textId="77777777" w:rsidR="0069778B" w:rsidRDefault="0069778B" w:rsidP="00286DF5">
            <w:pPr>
              <w:pStyle w:val="ListParagraph"/>
              <w:numPr>
                <w:ilvl w:val="0"/>
                <w:numId w:val="19"/>
              </w:numPr>
              <w:rPr>
                <w:rFonts w:ascii="Calibri" w:hAnsi="Calibri" w:cs="Calibri"/>
                <w:color w:val="000000"/>
                <w:sz w:val="22"/>
                <w:szCs w:val="22"/>
              </w:rPr>
            </w:pPr>
            <w:r>
              <w:rPr>
                <w:rFonts w:ascii="Calibri" w:hAnsi="Calibri" w:cs="Calibri"/>
                <w:color w:val="000000"/>
                <w:sz w:val="22"/>
                <w:szCs w:val="22"/>
              </w:rPr>
              <w:t>Guideline implemented</w:t>
            </w:r>
          </w:p>
          <w:p w14:paraId="775133E9" w14:textId="77777777" w:rsidR="0092264F" w:rsidRDefault="0069778B" w:rsidP="00286DF5">
            <w:pPr>
              <w:pStyle w:val="ListParagraph"/>
              <w:numPr>
                <w:ilvl w:val="0"/>
                <w:numId w:val="19"/>
              </w:numPr>
              <w:rPr>
                <w:rFonts w:ascii="Calibri" w:hAnsi="Calibri" w:cs="Calibri"/>
                <w:color w:val="000000"/>
                <w:sz w:val="22"/>
                <w:szCs w:val="22"/>
              </w:rPr>
            </w:pPr>
            <w:r w:rsidRPr="00286DF5">
              <w:rPr>
                <w:rFonts w:ascii="Calibri" w:hAnsi="Calibri" w:cs="Calibri"/>
                <w:color w:val="000000"/>
                <w:sz w:val="22"/>
                <w:szCs w:val="22"/>
              </w:rPr>
              <w:t xml:space="preserve">Rainbow </w:t>
            </w:r>
            <w:proofErr w:type="spellStart"/>
            <w:r w:rsidRPr="00286DF5">
              <w:rPr>
                <w:rFonts w:ascii="Calibri" w:hAnsi="Calibri" w:cs="Calibri"/>
                <w:color w:val="000000"/>
                <w:sz w:val="22"/>
                <w:szCs w:val="22"/>
              </w:rPr>
              <w:t>eQuality</w:t>
            </w:r>
            <w:proofErr w:type="spellEnd"/>
            <w:r w:rsidRPr="00286DF5">
              <w:rPr>
                <w:rFonts w:ascii="Calibri" w:hAnsi="Calibri" w:cs="Calibri"/>
                <w:color w:val="000000"/>
                <w:sz w:val="22"/>
                <w:szCs w:val="22"/>
              </w:rPr>
              <w:t xml:space="preserve"> Action Plan reviewed</w:t>
            </w:r>
          </w:p>
          <w:p w14:paraId="104EEBFD" w14:textId="3D2EBB26" w:rsidR="0069778B" w:rsidRPr="00286DF5" w:rsidRDefault="0092264F" w:rsidP="00286DF5">
            <w:pPr>
              <w:pStyle w:val="ListParagraph"/>
              <w:numPr>
                <w:ilvl w:val="0"/>
                <w:numId w:val="19"/>
              </w:numPr>
              <w:rPr>
                <w:rFonts w:ascii="Calibri" w:hAnsi="Calibri" w:cs="Calibri"/>
                <w:color w:val="000000"/>
                <w:sz w:val="22"/>
                <w:szCs w:val="22"/>
              </w:rPr>
            </w:pPr>
            <w:r>
              <w:rPr>
                <w:rFonts w:ascii="Calibri" w:hAnsi="Calibri" w:cs="Calibri"/>
                <w:color w:val="000000"/>
                <w:sz w:val="22"/>
                <w:szCs w:val="22"/>
              </w:rPr>
              <w:t>Indicators monitored on Diversity, Equity and Inclusion scorecard</w:t>
            </w:r>
            <w:bookmarkStart w:id="0" w:name="_GoBack"/>
            <w:bookmarkEnd w:id="0"/>
          </w:p>
        </w:tc>
      </w:tr>
    </w:tbl>
    <w:p w14:paraId="02DF6C26" w14:textId="77777777" w:rsidR="00E06707" w:rsidRPr="00E05CB8" w:rsidRDefault="00E06707" w:rsidP="00171115">
      <w:pPr>
        <w:rPr>
          <w:rFonts w:ascii="Calibri" w:hAnsi="Calibri" w:cs="Arial"/>
        </w:rPr>
      </w:pPr>
    </w:p>
    <w:sectPr w:rsidR="00E06707" w:rsidRPr="00E05CB8" w:rsidSect="00E05CB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E7284" w14:textId="77777777" w:rsidR="00E85886" w:rsidRDefault="00E85886" w:rsidP="00E938AA">
      <w:r>
        <w:separator/>
      </w:r>
    </w:p>
  </w:endnote>
  <w:endnote w:type="continuationSeparator" w:id="0">
    <w:p w14:paraId="773E7285" w14:textId="77777777" w:rsidR="00E85886" w:rsidRDefault="00E85886" w:rsidP="00E9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E7282" w14:textId="77777777" w:rsidR="00E85886" w:rsidRDefault="00E85886" w:rsidP="00E938AA">
      <w:r>
        <w:separator/>
      </w:r>
    </w:p>
  </w:footnote>
  <w:footnote w:type="continuationSeparator" w:id="0">
    <w:p w14:paraId="773E7283" w14:textId="77777777" w:rsidR="00E85886" w:rsidRDefault="00E85886" w:rsidP="00E938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DB2"/>
    <w:multiLevelType w:val="hybridMultilevel"/>
    <w:tmpl w:val="9FA4FA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814F8"/>
    <w:multiLevelType w:val="hybridMultilevel"/>
    <w:tmpl w:val="311ED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6A54F4"/>
    <w:multiLevelType w:val="hybridMultilevel"/>
    <w:tmpl w:val="93824F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0823E8"/>
    <w:multiLevelType w:val="multilevel"/>
    <w:tmpl w:val="C6A4F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CF38C9"/>
    <w:multiLevelType w:val="hybridMultilevel"/>
    <w:tmpl w:val="7E1C9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176464"/>
    <w:multiLevelType w:val="hybridMultilevel"/>
    <w:tmpl w:val="18E0B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947C9D"/>
    <w:multiLevelType w:val="hybridMultilevel"/>
    <w:tmpl w:val="EE523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F7222F"/>
    <w:multiLevelType w:val="hybridMultilevel"/>
    <w:tmpl w:val="3BB4C1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B32756"/>
    <w:multiLevelType w:val="hybridMultilevel"/>
    <w:tmpl w:val="A330D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8F1E36"/>
    <w:multiLevelType w:val="hybridMultilevel"/>
    <w:tmpl w:val="46348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EF5546"/>
    <w:multiLevelType w:val="hybridMultilevel"/>
    <w:tmpl w:val="342A8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903D04"/>
    <w:multiLevelType w:val="hybridMultilevel"/>
    <w:tmpl w:val="F1E0C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5016DF"/>
    <w:multiLevelType w:val="hybridMultilevel"/>
    <w:tmpl w:val="4EDA5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163B2F"/>
    <w:multiLevelType w:val="hybridMultilevel"/>
    <w:tmpl w:val="64B4D5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6262718"/>
    <w:multiLevelType w:val="hybridMultilevel"/>
    <w:tmpl w:val="B39AB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2B21CFF"/>
    <w:multiLevelType w:val="hybridMultilevel"/>
    <w:tmpl w:val="40EABE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317A68"/>
    <w:multiLevelType w:val="hybridMultilevel"/>
    <w:tmpl w:val="68DE9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8642C6"/>
    <w:multiLevelType w:val="hybridMultilevel"/>
    <w:tmpl w:val="C53C4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4901794"/>
    <w:multiLevelType w:val="hybridMultilevel"/>
    <w:tmpl w:val="554CBA14"/>
    <w:lvl w:ilvl="0" w:tplc="3796D50C">
      <w:start w:val="1"/>
      <w:numFmt w:val="decimal"/>
      <w:lvlText w:val="%1."/>
      <w:lvlJc w:val="left"/>
      <w:pPr>
        <w:ind w:left="720" w:hanging="360"/>
      </w:pPr>
      <w:rPr>
        <w:color w:val="4F81BD"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427E8E"/>
    <w:multiLevelType w:val="hybridMultilevel"/>
    <w:tmpl w:val="C2441E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FE70E0A"/>
    <w:multiLevelType w:val="hybridMultilevel"/>
    <w:tmpl w:val="50D46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3"/>
  </w:num>
  <w:num w:numId="4">
    <w:abstractNumId w:val="14"/>
  </w:num>
  <w:num w:numId="5">
    <w:abstractNumId w:val="11"/>
  </w:num>
  <w:num w:numId="6">
    <w:abstractNumId w:val="16"/>
  </w:num>
  <w:num w:numId="7">
    <w:abstractNumId w:val="10"/>
  </w:num>
  <w:num w:numId="8">
    <w:abstractNumId w:val="4"/>
  </w:num>
  <w:num w:numId="9">
    <w:abstractNumId w:val="7"/>
  </w:num>
  <w:num w:numId="10">
    <w:abstractNumId w:val="20"/>
  </w:num>
  <w:num w:numId="11">
    <w:abstractNumId w:val="15"/>
  </w:num>
  <w:num w:numId="12">
    <w:abstractNumId w:val="5"/>
  </w:num>
  <w:num w:numId="13">
    <w:abstractNumId w:val="1"/>
  </w:num>
  <w:num w:numId="14">
    <w:abstractNumId w:val="2"/>
  </w:num>
  <w:num w:numId="15">
    <w:abstractNumId w:val="9"/>
  </w:num>
  <w:num w:numId="16">
    <w:abstractNumId w:val="17"/>
  </w:num>
  <w:num w:numId="17">
    <w:abstractNumId w:val="19"/>
  </w:num>
  <w:num w:numId="18">
    <w:abstractNumId w:val="8"/>
  </w:num>
  <w:num w:numId="19">
    <w:abstractNumId w:val="13"/>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0"/>
    <w:rsid w:val="0005655F"/>
    <w:rsid w:val="00070AC8"/>
    <w:rsid w:val="000B18DF"/>
    <w:rsid w:val="000D6891"/>
    <w:rsid w:val="000D6FE4"/>
    <w:rsid w:val="00116C8D"/>
    <w:rsid w:val="00132D32"/>
    <w:rsid w:val="00137032"/>
    <w:rsid w:val="0015616D"/>
    <w:rsid w:val="00171115"/>
    <w:rsid w:val="001865B5"/>
    <w:rsid w:val="00195092"/>
    <w:rsid w:val="001A2A5F"/>
    <w:rsid w:val="001C23EA"/>
    <w:rsid w:val="00216108"/>
    <w:rsid w:val="0022249B"/>
    <w:rsid w:val="00286DF5"/>
    <w:rsid w:val="002A0547"/>
    <w:rsid w:val="002A7BBE"/>
    <w:rsid w:val="003002ED"/>
    <w:rsid w:val="00393D47"/>
    <w:rsid w:val="003B288B"/>
    <w:rsid w:val="003B6F08"/>
    <w:rsid w:val="003C4894"/>
    <w:rsid w:val="003E1B5C"/>
    <w:rsid w:val="004101A6"/>
    <w:rsid w:val="00423248"/>
    <w:rsid w:val="00425DD6"/>
    <w:rsid w:val="00462181"/>
    <w:rsid w:val="00490F5F"/>
    <w:rsid w:val="004B5ECD"/>
    <w:rsid w:val="004C30C5"/>
    <w:rsid w:val="004F0FF2"/>
    <w:rsid w:val="0053619A"/>
    <w:rsid w:val="00646B47"/>
    <w:rsid w:val="0065020F"/>
    <w:rsid w:val="00667A93"/>
    <w:rsid w:val="0069778B"/>
    <w:rsid w:val="006E630A"/>
    <w:rsid w:val="00721AB3"/>
    <w:rsid w:val="00743A8A"/>
    <w:rsid w:val="0076386A"/>
    <w:rsid w:val="0078774E"/>
    <w:rsid w:val="007A7ADF"/>
    <w:rsid w:val="008441C6"/>
    <w:rsid w:val="0084713B"/>
    <w:rsid w:val="00886455"/>
    <w:rsid w:val="008B2EB1"/>
    <w:rsid w:val="008E5A84"/>
    <w:rsid w:val="0092264F"/>
    <w:rsid w:val="00926038"/>
    <w:rsid w:val="0093755B"/>
    <w:rsid w:val="009604A4"/>
    <w:rsid w:val="00965E14"/>
    <w:rsid w:val="009809CE"/>
    <w:rsid w:val="009B5CAB"/>
    <w:rsid w:val="009C15C1"/>
    <w:rsid w:val="00A03060"/>
    <w:rsid w:val="00A80806"/>
    <w:rsid w:val="00A83A8E"/>
    <w:rsid w:val="00A87C84"/>
    <w:rsid w:val="00A9300F"/>
    <w:rsid w:val="00A96EA0"/>
    <w:rsid w:val="00AB1AD0"/>
    <w:rsid w:val="00AD1249"/>
    <w:rsid w:val="00B14400"/>
    <w:rsid w:val="00B202F7"/>
    <w:rsid w:val="00B221C6"/>
    <w:rsid w:val="00BE1B30"/>
    <w:rsid w:val="00BF19AD"/>
    <w:rsid w:val="00BF3FCF"/>
    <w:rsid w:val="00C06A75"/>
    <w:rsid w:val="00C1545A"/>
    <w:rsid w:val="00C43341"/>
    <w:rsid w:val="00C8401D"/>
    <w:rsid w:val="00C96BC7"/>
    <w:rsid w:val="00CA6E8A"/>
    <w:rsid w:val="00CD4D5B"/>
    <w:rsid w:val="00D04BB9"/>
    <w:rsid w:val="00D10379"/>
    <w:rsid w:val="00D160BD"/>
    <w:rsid w:val="00D40A53"/>
    <w:rsid w:val="00D411E0"/>
    <w:rsid w:val="00D74460"/>
    <w:rsid w:val="00DC2535"/>
    <w:rsid w:val="00E02395"/>
    <w:rsid w:val="00E05CB8"/>
    <w:rsid w:val="00E06707"/>
    <w:rsid w:val="00E4327D"/>
    <w:rsid w:val="00E47354"/>
    <w:rsid w:val="00E6342F"/>
    <w:rsid w:val="00E63593"/>
    <w:rsid w:val="00E74285"/>
    <w:rsid w:val="00E85886"/>
    <w:rsid w:val="00E938AA"/>
    <w:rsid w:val="00EC31C4"/>
    <w:rsid w:val="00EE0F78"/>
    <w:rsid w:val="00F373E8"/>
    <w:rsid w:val="00F60FFB"/>
    <w:rsid w:val="00FB647D"/>
    <w:rsid w:val="00FC56C1"/>
    <w:rsid w:val="00FC7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3E724C"/>
  <w15:docId w15:val="{80EDAB48-3512-4EB2-B5F2-19876B5B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0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B1440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144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400"/>
    <w:rPr>
      <w:rFonts w:ascii="Arial" w:eastAsia="Times New Roman" w:hAnsi="Arial" w:cs="Arial"/>
      <w:b/>
      <w:bCs/>
      <w:kern w:val="32"/>
      <w:sz w:val="32"/>
      <w:szCs w:val="32"/>
      <w:lang w:eastAsia="en-AU"/>
    </w:rPr>
  </w:style>
  <w:style w:type="character" w:customStyle="1" w:styleId="Heading3Char">
    <w:name w:val="Heading 3 Char"/>
    <w:basedOn w:val="DefaultParagraphFont"/>
    <w:link w:val="Heading3"/>
    <w:rsid w:val="00B14400"/>
    <w:rPr>
      <w:rFonts w:ascii="Arial" w:eastAsia="Times New Roman" w:hAnsi="Arial" w:cs="Arial"/>
      <w:b/>
      <w:bCs/>
      <w:sz w:val="26"/>
      <w:szCs w:val="26"/>
      <w:lang w:eastAsia="en-AU"/>
    </w:rPr>
  </w:style>
  <w:style w:type="paragraph" w:styleId="Title">
    <w:name w:val="Title"/>
    <w:basedOn w:val="Normal"/>
    <w:link w:val="TitleChar"/>
    <w:qFormat/>
    <w:rsid w:val="00B14400"/>
    <w:pPr>
      <w:jc w:val="center"/>
    </w:pPr>
    <w:rPr>
      <w:b/>
      <w:sz w:val="28"/>
      <w:szCs w:val="20"/>
      <w:lang w:eastAsia="en-US"/>
    </w:rPr>
  </w:style>
  <w:style w:type="character" w:customStyle="1" w:styleId="TitleChar">
    <w:name w:val="Title Char"/>
    <w:basedOn w:val="DefaultParagraphFont"/>
    <w:link w:val="Title"/>
    <w:rsid w:val="00B14400"/>
    <w:rPr>
      <w:rFonts w:ascii="Times New Roman" w:eastAsia="Times New Roman" w:hAnsi="Times New Roman" w:cs="Times New Roman"/>
      <w:b/>
      <w:sz w:val="28"/>
      <w:szCs w:val="20"/>
    </w:rPr>
  </w:style>
  <w:style w:type="paragraph" w:styleId="Subtitle">
    <w:name w:val="Subtitle"/>
    <w:basedOn w:val="Normal"/>
    <w:link w:val="SubtitleChar"/>
    <w:qFormat/>
    <w:rsid w:val="00B14400"/>
    <w:pPr>
      <w:jc w:val="center"/>
    </w:pPr>
    <w:rPr>
      <w:b/>
      <w:sz w:val="32"/>
      <w:szCs w:val="20"/>
      <w:lang w:eastAsia="en-US"/>
    </w:rPr>
  </w:style>
  <w:style w:type="character" w:customStyle="1" w:styleId="SubtitleChar">
    <w:name w:val="Subtitle Char"/>
    <w:basedOn w:val="DefaultParagraphFont"/>
    <w:link w:val="Subtitle"/>
    <w:rsid w:val="00B14400"/>
    <w:rPr>
      <w:rFonts w:ascii="Times New Roman" w:eastAsia="Times New Roman" w:hAnsi="Times New Roman" w:cs="Times New Roman"/>
      <w:b/>
      <w:sz w:val="32"/>
      <w:szCs w:val="20"/>
    </w:rPr>
  </w:style>
  <w:style w:type="paragraph" w:styleId="ListParagraph">
    <w:name w:val="List Paragraph"/>
    <w:aliases w:val="Capire List Para,Capire List Paragraph"/>
    <w:basedOn w:val="Normal"/>
    <w:link w:val="ListParagraphChar"/>
    <w:uiPriority w:val="1"/>
    <w:qFormat/>
    <w:rsid w:val="00B14400"/>
    <w:pPr>
      <w:ind w:left="720"/>
      <w:contextualSpacing/>
    </w:pPr>
  </w:style>
  <w:style w:type="paragraph" w:styleId="Header">
    <w:name w:val="header"/>
    <w:basedOn w:val="Normal"/>
    <w:link w:val="HeaderChar"/>
    <w:uiPriority w:val="99"/>
    <w:unhideWhenUsed/>
    <w:rsid w:val="00E938AA"/>
    <w:pPr>
      <w:tabs>
        <w:tab w:val="center" w:pos="4513"/>
        <w:tab w:val="right" w:pos="9026"/>
      </w:tabs>
    </w:pPr>
  </w:style>
  <w:style w:type="character" w:customStyle="1" w:styleId="HeaderChar">
    <w:name w:val="Header Char"/>
    <w:basedOn w:val="DefaultParagraphFont"/>
    <w:link w:val="Header"/>
    <w:uiPriority w:val="99"/>
    <w:rsid w:val="00E938A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938AA"/>
    <w:pPr>
      <w:tabs>
        <w:tab w:val="center" w:pos="4513"/>
        <w:tab w:val="right" w:pos="9026"/>
      </w:tabs>
    </w:pPr>
  </w:style>
  <w:style w:type="character" w:customStyle="1" w:styleId="FooterChar">
    <w:name w:val="Footer Char"/>
    <w:basedOn w:val="DefaultParagraphFont"/>
    <w:link w:val="Footer"/>
    <w:uiPriority w:val="99"/>
    <w:rsid w:val="00E938A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C15C1"/>
    <w:rPr>
      <w:rFonts w:ascii="Tahoma" w:hAnsi="Tahoma" w:cs="Tahoma"/>
      <w:sz w:val="16"/>
      <w:szCs w:val="16"/>
    </w:rPr>
  </w:style>
  <w:style w:type="character" w:customStyle="1" w:styleId="BalloonTextChar">
    <w:name w:val="Balloon Text Char"/>
    <w:basedOn w:val="DefaultParagraphFont"/>
    <w:link w:val="BalloonText"/>
    <w:uiPriority w:val="99"/>
    <w:semiHidden/>
    <w:rsid w:val="009C15C1"/>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71115"/>
    <w:pPr>
      <w:jc w:val="both"/>
    </w:pPr>
    <w:rPr>
      <w:rFonts w:ascii="Calibri" w:hAnsi="Calibri" w:cs="Arial"/>
    </w:rPr>
  </w:style>
  <w:style w:type="character" w:customStyle="1" w:styleId="BodyTextChar">
    <w:name w:val="Body Text Char"/>
    <w:basedOn w:val="DefaultParagraphFont"/>
    <w:link w:val="BodyText"/>
    <w:uiPriority w:val="99"/>
    <w:rsid w:val="00171115"/>
    <w:rPr>
      <w:rFonts w:ascii="Calibri" w:eastAsia="Times New Roman" w:hAnsi="Calibri" w:cs="Arial"/>
      <w:sz w:val="24"/>
      <w:szCs w:val="24"/>
      <w:lang w:eastAsia="en-AU"/>
    </w:rPr>
  </w:style>
  <w:style w:type="table" w:styleId="TableGrid">
    <w:name w:val="Table Grid"/>
    <w:basedOn w:val="TableNormal"/>
    <w:uiPriority w:val="59"/>
    <w:rsid w:val="00171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apire List Para Char,Capire List Paragraph Char"/>
    <w:basedOn w:val="DefaultParagraphFont"/>
    <w:link w:val="ListParagraph"/>
    <w:uiPriority w:val="1"/>
    <w:rsid w:val="004101A6"/>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E63593"/>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4B5ECD"/>
    <w:rPr>
      <w:sz w:val="16"/>
      <w:szCs w:val="16"/>
    </w:rPr>
  </w:style>
  <w:style w:type="paragraph" w:styleId="CommentText">
    <w:name w:val="annotation text"/>
    <w:basedOn w:val="Normal"/>
    <w:link w:val="CommentTextChar"/>
    <w:uiPriority w:val="99"/>
    <w:semiHidden/>
    <w:unhideWhenUsed/>
    <w:rsid w:val="004B5ECD"/>
    <w:rPr>
      <w:sz w:val="20"/>
      <w:szCs w:val="20"/>
    </w:rPr>
  </w:style>
  <w:style w:type="character" w:customStyle="1" w:styleId="CommentTextChar">
    <w:name w:val="Comment Text Char"/>
    <w:basedOn w:val="DefaultParagraphFont"/>
    <w:link w:val="CommentText"/>
    <w:uiPriority w:val="99"/>
    <w:semiHidden/>
    <w:rsid w:val="004B5EC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B5ECD"/>
    <w:rPr>
      <w:b/>
      <w:bCs/>
    </w:rPr>
  </w:style>
  <w:style w:type="character" w:customStyle="1" w:styleId="CommentSubjectChar">
    <w:name w:val="Comment Subject Char"/>
    <w:basedOn w:val="CommentTextChar"/>
    <w:link w:val="CommentSubject"/>
    <w:uiPriority w:val="99"/>
    <w:semiHidden/>
    <w:rsid w:val="004B5ECD"/>
    <w:rPr>
      <w:rFonts w:ascii="Times New Roman" w:eastAsia="Times New Roman" w:hAnsi="Times New Roman" w:cs="Times New Roman"/>
      <w:b/>
      <w:bCs/>
      <w:sz w:val="20"/>
      <w:szCs w:val="20"/>
      <w:lang w:eastAsia="en-AU"/>
    </w:rPr>
  </w:style>
  <w:style w:type="paragraph" w:styleId="Revision">
    <w:name w:val="Revision"/>
    <w:hidden/>
    <w:uiPriority w:val="99"/>
    <w:semiHidden/>
    <w:rsid w:val="00A96EA0"/>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8194">
      <w:bodyDiv w:val="1"/>
      <w:marLeft w:val="0"/>
      <w:marRight w:val="0"/>
      <w:marTop w:val="0"/>
      <w:marBottom w:val="0"/>
      <w:divBdr>
        <w:top w:val="none" w:sz="0" w:space="0" w:color="auto"/>
        <w:left w:val="none" w:sz="0" w:space="0" w:color="auto"/>
        <w:bottom w:val="none" w:sz="0" w:space="0" w:color="auto"/>
        <w:right w:val="none" w:sz="0" w:space="0" w:color="auto"/>
      </w:divBdr>
    </w:div>
    <w:div w:id="334571030">
      <w:bodyDiv w:val="1"/>
      <w:marLeft w:val="0"/>
      <w:marRight w:val="0"/>
      <w:marTop w:val="0"/>
      <w:marBottom w:val="0"/>
      <w:divBdr>
        <w:top w:val="none" w:sz="0" w:space="0" w:color="auto"/>
        <w:left w:val="none" w:sz="0" w:space="0" w:color="auto"/>
        <w:bottom w:val="none" w:sz="0" w:space="0" w:color="auto"/>
        <w:right w:val="none" w:sz="0" w:space="0" w:color="auto"/>
      </w:divBdr>
    </w:div>
    <w:div w:id="433133109">
      <w:bodyDiv w:val="1"/>
      <w:marLeft w:val="0"/>
      <w:marRight w:val="0"/>
      <w:marTop w:val="0"/>
      <w:marBottom w:val="0"/>
      <w:divBdr>
        <w:top w:val="none" w:sz="0" w:space="0" w:color="auto"/>
        <w:left w:val="none" w:sz="0" w:space="0" w:color="auto"/>
        <w:bottom w:val="none" w:sz="0" w:space="0" w:color="auto"/>
        <w:right w:val="none" w:sz="0" w:space="0" w:color="auto"/>
      </w:divBdr>
    </w:div>
    <w:div w:id="475269699">
      <w:bodyDiv w:val="1"/>
      <w:marLeft w:val="0"/>
      <w:marRight w:val="0"/>
      <w:marTop w:val="0"/>
      <w:marBottom w:val="0"/>
      <w:divBdr>
        <w:top w:val="none" w:sz="0" w:space="0" w:color="auto"/>
        <w:left w:val="none" w:sz="0" w:space="0" w:color="auto"/>
        <w:bottom w:val="none" w:sz="0" w:space="0" w:color="auto"/>
        <w:right w:val="none" w:sz="0" w:space="0" w:color="auto"/>
      </w:divBdr>
      <w:divsChild>
        <w:div w:id="1234853981">
          <w:marLeft w:val="274"/>
          <w:marRight w:val="0"/>
          <w:marTop w:val="200"/>
          <w:marBottom w:val="0"/>
          <w:divBdr>
            <w:top w:val="none" w:sz="0" w:space="0" w:color="auto"/>
            <w:left w:val="none" w:sz="0" w:space="0" w:color="auto"/>
            <w:bottom w:val="none" w:sz="0" w:space="0" w:color="auto"/>
            <w:right w:val="none" w:sz="0" w:space="0" w:color="auto"/>
          </w:divBdr>
        </w:div>
        <w:div w:id="1353842747">
          <w:marLeft w:val="1267"/>
          <w:marRight w:val="0"/>
          <w:marTop w:val="100"/>
          <w:marBottom w:val="0"/>
          <w:divBdr>
            <w:top w:val="none" w:sz="0" w:space="0" w:color="auto"/>
            <w:left w:val="none" w:sz="0" w:space="0" w:color="auto"/>
            <w:bottom w:val="none" w:sz="0" w:space="0" w:color="auto"/>
            <w:right w:val="none" w:sz="0" w:space="0" w:color="auto"/>
          </w:divBdr>
        </w:div>
        <w:div w:id="217281877">
          <w:marLeft w:val="1267"/>
          <w:marRight w:val="0"/>
          <w:marTop w:val="100"/>
          <w:marBottom w:val="0"/>
          <w:divBdr>
            <w:top w:val="none" w:sz="0" w:space="0" w:color="auto"/>
            <w:left w:val="none" w:sz="0" w:space="0" w:color="auto"/>
            <w:bottom w:val="none" w:sz="0" w:space="0" w:color="auto"/>
            <w:right w:val="none" w:sz="0" w:space="0" w:color="auto"/>
          </w:divBdr>
        </w:div>
        <w:div w:id="1575968046">
          <w:marLeft w:val="1267"/>
          <w:marRight w:val="0"/>
          <w:marTop w:val="100"/>
          <w:marBottom w:val="0"/>
          <w:divBdr>
            <w:top w:val="none" w:sz="0" w:space="0" w:color="auto"/>
            <w:left w:val="none" w:sz="0" w:space="0" w:color="auto"/>
            <w:bottom w:val="none" w:sz="0" w:space="0" w:color="auto"/>
            <w:right w:val="none" w:sz="0" w:space="0" w:color="auto"/>
          </w:divBdr>
        </w:div>
        <w:div w:id="240339835">
          <w:marLeft w:val="274"/>
          <w:marRight w:val="0"/>
          <w:marTop w:val="200"/>
          <w:marBottom w:val="0"/>
          <w:divBdr>
            <w:top w:val="none" w:sz="0" w:space="0" w:color="auto"/>
            <w:left w:val="none" w:sz="0" w:space="0" w:color="auto"/>
            <w:bottom w:val="none" w:sz="0" w:space="0" w:color="auto"/>
            <w:right w:val="none" w:sz="0" w:space="0" w:color="auto"/>
          </w:divBdr>
        </w:div>
        <w:div w:id="291717302">
          <w:marLeft w:val="274"/>
          <w:marRight w:val="0"/>
          <w:marTop w:val="200"/>
          <w:marBottom w:val="0"/>
          <w:divBdr>
            <w:top w:val="none" w:sz="0" w:space="0" w:color="auto"/>
            <w:left w:val="none" w:sz="0" w:space="0" w:color="auto"/>
            <w:bottom w:val="none" w:sz="0" w:space="0" w:color="auto"/>
            <w:right w:val="none" w:sz="0" w:space="0" w:color="auto"/>
          </w:divBdr>
        </w:div>
      </w:divsChild>
    </w:div>
    <w:div w:id="754671307">
      <w:bodyDiv w:val="1"/>
      <w:marLeft w:val="0"/>
      <w:marRight w:val="0"/>
      <w:marTop w:val="0"/>
      <w:marBottom w:val="0"/>
      <w:divBdr>
        <w:top w:val="none" w:sz="0" w:space="0" w:color="auto"/>
        <w:left w:val="none" w:sz="0" w:space="0" w:color="auto"/>
        <w:bottom w:val="none" w:sz="0" w:space="0" w:color="auto"/>
        <w:right w:val="none" w:sz="0" w:space="0" w:color="auto"/>
      </w:divBdr>
    </w:div>
    <w:div w:id="857357049">
      <w:bodyDiv w:val="1"/>
      <w:marLeft w:val="0"/>
      <w:marRight w:val="0"/>
      <w:marTop w:val="0"/>
      <w:marBottom w:val="0"/>
      <w:divBdr>
        <w:top w:val="none" w:sz="0" w:space="0" w:color="auto"/>
        <w:left w:val="none" w:sz="0" w:space="0" w:color="auto"/>
        <w:bottom w:val="none" w:sz="0" w:space="0" w:color="auto"/>
        <w:right w:val="none" w:sz="0" w:space="0" w:color="auto"/>
      </w:divBdr>
    </w:div>
    <w:div w:id="1045956109">
      <w:bodyDiv w:val="1"/>
      <w:marLeft w:val="0"/>
      <w:marRight w:val="0"/>
      <w:marTop w:val="0"/>
      <w:marBottom w:val="0"/>
      <w:divBdr>
        <w:top w:val="none" w:sz="0" w:space="0" w:color="auto"/>
        <w:left w:val="none" w:sz="0" w:space="0" w:color="auto"/>
        <w:bottom w:val="none" w:sz="0" w:space="0" w:color="auto"/>
        <w:right w:val="none" w:sz="0" w:space="0" w:color="auto"/>
      </w:divBdr>
    </w:div>
    <w:div w:id="1313607455">
      <w:bodyDiv w:val="1"/>
      <w:marLeft w:val="0"/>
      <w:marRight w:val="0"/>
      <w:marTop w:val="0"/>
      <w:marBottom w:val="0"/>
      <w:divBdr>
        <w:top w:val="none" w:sz="0" w:space="0" w:color="auto"/>
        <w:left w:val="none" w:sz="0" w:space="0" w:color="auto"/>
        <w:bottom w:val="none" w:sz="0" w:space="0" w:color="auto"/>
        <w:right w:val="none" w:sz="0" w:space="0" w:color="auto"/>
      </w:divBdr>
    </w:div>
    <w:div w:id="1320689552">
      <w:bodyDiv w:val="1"/>
      <w:marLeft w:val="0"/>
      <w:marRight w:val="0"/>
      <w:marTop w:val="0"/>
      <w:marBottom w:val="0"/>
      <w:divBdr>
        <w:top w:val="none" w:sz="0" w:space="0" w:color="auto"/>
        <w:left w:val="none" w:sz="0" w:space="0" w:color="auto"/>
        <w:bottom w:val="none" w:sz="0" w:space="0" w:color="auto"/>
        <w:right w:val="none" w:sz="0" w:space="0" w:color="auto"/>
      </w:divBdr>
    </w:div>
    <w:div w:id="1426732337">
      <w:bodyDiv w:val="1"/>
      <w:marLeft w:val="0"/>
      <w:marRight w:val="0"/>
      <w:marTop w:val="0"/>
      <w:marBottom w:val="0"/>
      <w:divBdr>
        <w:top w:val="none" w:sz="0" w:space="0" w:color="auto"/>
        <w:left w:val="none" w:sz="0" w:space="0" w:color="auto"/>
        <w:bottom w:val="none" w:sz="0" w:space="0" w:color="auto"/>
        <w:right w:val="none" w:sz="0" w:space="0" w:color="auto"/>
      </w:divBdr>
    </w:div>
    <w:div w:id="1475758204">
      <w:bodyDiv w:val="1"/>
      <w:marLeft w:val="0"/>
      <w:marRight w:val="0"/>
      <w:marTop w:val="0"/>
      <w:marBottom w:val="0"/>
      <w:divBdr>
        <w:top w:val="none" w:sz="0" w:space="0" w:color="auto"/>
        <w:left w:val="none" w:sz="0" w:space="0" w:color="auto"/>
        <w:bottom w:val="none" w:sz="0" w:space="0" w:color="auto"/>
        <w:right w:val="none" w:sz="0" w:space="0" w:color="auto"/>
      </w:divBdr>
    </w:div>
    <w:div w:id="1734310874">
      <w:bodyDiv w:val="1"/>
      <w:marLeft w:val="0"/>
      <w:marRight w:val="0"/>
      <w:marTop w:val="0"/>
      <w:marBottom w:val="0"/>
      <w:divBdr>
        <w:top w:val="none" w:sz="0" w:space="0" w:color="auto"/>
        <w:left w:val="none" w:sz="0" w:space="0" w:color="auto"/>
        <w:bottom w:val="none" w:sz="0" w:space="0" w:color="auto"/>
        <w:right w:val="none" w:sz="0" w:space="0" w:color="auto"/>
      </w:divBdr>
    </w:div>
    <w:div w:id="1765496218">
      <w:bodyDiv w:val="1"/>
      <w:marLeft w:val="0"/>
      <w:marRight w:val="0"/>
      <w:marTop w:val="0"/>
      <w:marBottom w:val="0"/>
      <w:divBdr>
        <w:top w:val="none" w:sz="0" w:space="0" w:color="auto"/>
        <w:left w:val="none" w:sz="0" w:space="0" w:color="auto"/>
        <w:bottom w:val="none" w:sz="0" w:space="0" w:color="auto"/>
        <w:right w:val="none" w:sz="0" w:space="0" w:color="auto"/>
      </w:divBdr>
      <w:divsChild>
        <w:div w:id="1087191396">
          <w:marLeft w:val="274"/>
          <w:marRight w:val="0"/>
          <w:marTop w:val="200"/>
          <w:marBottom w:val="0"/>
          <w:divBdr>
            <w:top w:val="none" w:sz="0" w:space="0" w:color="auto"/>
            <w:left w:val="none" w:sz="0" w:space="0" w:color="auto"/>
            <w:bottom w:val="none" w:sz="0" w:space="0" w:color="auto"/>
            <w:right w:val="none" w:sz="0" w:space="0" w:color="auto"/>
          </w:divBdr>
        </w:div>
        <w:div w:id="288778994">
          <w:marLeft w:val="1267"/>
          <w:marRight w:val="0"/>
          <w:marTop w:val="100"/>
          <w:marBottom w:val="0"/>
          <w:divBdr>
            <w:top w:val="none" w:sz="0" w:space="0" w:color="auto"/>
            <w:left w:val="none" w:sz="0" w:space="0" w:color="auto"/>
            <w:bottom w:val="none" w:sz="0" w:space="0" w:color="auto"/>
            <w:right w:val="none" w:sz="0" w:space="0" w:color="auto"/>
          </w:divBdr>
        </w:div>
        <w:div w:id="524370633">
          <w:marLeft w:val="1267"/>
          <w:marRight w:val="0"/>
          <w:marTop w:val="100"/>
          <w:marBottom w:val="0"/>
          <w:divBdr>
            <w:top w:val="none" w:sz="0" w:space="0" w:color="auto"/>
            <w:left w:val="none" w:sz="0" w:space="0" w:color="auto"/>
            <w:bottom w:val="none" w:sz="0" w:space="0" w:color="auto"/>
            <w:right w:val="none" w:sz="0" w:space="0" w:color="auto"/>
          </w:divBdr>
        </w:div>
        <w:div w:id="1138499737">
          <w:marLeft w:val="1267"/>
          <w:marRight w:val="0"/>
          <w:marTop w:val="100"/>
          <w:marBottom w:val="0"/>
          <w:divBdr>
            <w:top w:val="none" w:sz="0" w:space="0" w:color="auto"/>
            <w:left w:val="none" w:sz="0" w:space="0" w:color="auto"/>
            <w:bottom w:val="none" w:sz="0" w:space="0" w:color="auto"/>
            <w:right w:val="none" w:sz="0" w:space="0" w:color="auto"/>
          </w:divBdr>
        </w:div>
        <w:div w:id="1276656">
          <w:marLeft w:val="274"/>
          <w:marRight w:val="0"/>
          <w:marTop w:val="200"/>
          <w:marBottom w:val="0"/>
          <w:divBdr>
            <w:top w:val="none" w:sz="0" w:space="0" w:color="auto"/>
            <w:left w:val="none" w:sz="0" w:space="0" w:color="auto"/>
            <w:bottom w:val="none" w:sz="0" w:space="0" w:color="auto"/>
            <w:right w:val="none" w:sz="0" w:space="0" w:color="auto"/>
          </w:divBdr>
        </w:div>
        <w:div w:id="669717895">
          <w:marLeft w:val="274"/>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dadd35-abd8-4900-a5eb-e9ad04a8f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1B379B74FF0443ACDCA59796B713C2" ma:contentTypeVersion="14" ma:contentTypeDescription="Create a new document." ma:contentTypeScope="" ma:versionID="0bff3e8fb33e716f3d991bf16c76607c">
  <xsd:schema xmlns:xsd="http://www.w3.org/2001/XMLSchema" xmlns:xs="http://www.w3.org/2001/XMLSchema" xmlns:p="http://schemas.microsoft.com/office/2006/metadata/properties" xmlns:ns2="e1dadd35-abd8-4900-a5eb-e9ad04a8f86c" xmlns:ns3="11ac37e9-41de-45af-a154-04144bd7d828" targetNamespace="http://schemas.microsoft.com/office/2006/metadata/properties" ma:root="true" ma:fieldsID="b828481554949deaaec8cd8ae80eddf8" ns2:_="" ns3:_="">
    <xsd:import namespace="e1dadd35-abd8-4900-a5eb-e9ad04a8f86c"/>
    <xsd:import namespace="11ac37e9-41de-45af-a154-04144bd7d8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add35-abd8-4900-a5eb-e9ad04a8f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4a5d6ff-6f7a-4d8c-8740-7c2037d204d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ac37e9-41de-45af-a154-04144bd7d82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3CA0-A147-4ED3-82B7-5A3C3C64910D}">
  <ds:schemaRefs>
    <ds:schemaRef ds:uri="11ac37e9-41de-45af-a154-04144bd7d82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1dadd35-abd8-4900-a5eb-e9ad04a8f86c"/>
    <ds:schemaRef ds:uri="http://www.w3.org/XML/1998/namespace"/>
  </ds:schemaRefs>
</ds:datastoreItem>
</file>

<file path=customXml/itemProps2.xml><?xml version="1.0" encoding="utf-8"?>
<ds:datastoreItem xmlns:ds="http://schemas.openxmlformats.org/officeDocument/2006/customXml" ds:itemID="{12A8FACE-55F0-4C4F-8ECE-0A64DE523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add35-abd8-4900-a5eb-e9ad04a8f86c"/>
    <ds:schemaRef ds:uri="11ac37e9-41de-45af-a154-04144bd7d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E1E02-556B-4676-89BE-F93F08BE5B91}">
  <ds:schemaRefs>
    <ds:schemaRef ds:uri="http://schemas.microsoft.com/sharepoint/v3/contenttype/forms"/>
  </ds:schemaRefs>
</ds:datastoreItem>
</file>

<file path=customXml/itemProps4.xml><?xml version="1.0" encoding="utf-8"?>
<ds:datastoreItem xmlns:ds="http://schemas.openxmlformats.org/officeDocument/2006/customXml" ds:itemID="{C75C6AB6-5FBE-4CF4-9D06-D72281BB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ferraroj</dc:creator>
  <cp:lastModifiedBy>Speed, Verity</cp:lastModifiedBy>
  <cp:revision>2</cp:revision>
  <dcterms:created xsi:type="dcterms:W3CDTF">2024-02-27T09:57:00Z</dcterms:created>
  <dcterms:modified xsi:type="dcterms:W3CDTF">2024-02-27T09:57:00Z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0x010100A21B379B74FF0443ACDCA59796B713C2</vt:lpwstr>
  </property>
  <property fmtid="{D5CDD505-2E9C-101B-9397-08002B2CF9AE}" pid="3" name="_dlc_DocIdItemGuid">
    <vt:lpwstr>5b9036d8-29aa-4540-a777-3a4671e47d8e</vt:lpwstr>
  </property>
</Properties>
</file>