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id w:val="1095835031"/>
        <w:docPartObj>
          <w:docPartGallery w:val="Cover Pages"/>
          <w:docPartUnique/>
        </w:docPartObj>
      </w:sdtPr>
      <w:sdtEndPr>
        <w:rPr>
          <w:rFonts w:eastAsiaTheme="majorEastAsia"/>
          <w:lang w:val="en-AU" w:eastAsia="en-US"/>
        </w:rPr>
      </w:sdtEndPr>
      <w:sdtContent>
        <w:p w:rsidR="004D6435" w:rsidRPr="00022C68" w:rsidRDefault="00BB06BC">
          <w:pPr>
            <w:rPr>
              <w:rFonts w:ascii="Times New Roman" w:hAnsi="Times New Roman" w:cs="Times New Roman"/>
              <w:sz w:val="28"/>
              <w:szCs w:val="28"/>
            </w:rPr>
          </w:pPr>
          <w:r w:rsidRPr="00022C6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Neami National </w:t>
          </w:r>
          <w:r w:rsidR="001E2C93" w:rsidRPr="00022C68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Blackburn </w:t>
          </w:r>
          <w:r w:rsidRPr="00022C68">
            <w:rPr>
              <w:rFonts w:ascii="Times New Roman" w:eastAsiaTheme="majorEastAsia" w:hAnsi="Times New Roman" w:cs="Times New Roman"/>
              <w:sz w:val="28"/>
              <w:szCs w:val="28"/>
            </w:rPr>
            <w:t>Project</w:t>
          </w:r>
          <w:r w:rsidR="00854D33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(Updated for EMHSCA May 2017</w:t>
          </w:r>
          <w:r w:rsidR="00022C68" w:rsidRPr="00022C68">
            <w:rPr>
              <w:rFonts w:ascii="Times New Roman" w:eastAsiaTheme="majorEastAsia" w:hAnsi="Times New Roman" w:cs="Times New Roman"/>
              <w:sz w:val="28"/>
              <w:szCs w:val="28"/>
            </w:rPr>
            <w:t>)</w:t>
          </w:r>
        </w:p>
      </w:sdtContent>
    </w:sdt>
    <w:bookmarkEnd w:id="0"/>
    <w:p w:rsidR="00542DDD" w:rsidRDefault="00542DDD">
      <w:pPr>
        <w:rPr>
          <w:rFonts w:ascii="Times New Roman" w:hAnsi="Times New Roman" w:cs="Times New Roman"/>
        </w:rPr>
      </w:pPr>
    </w:p>
    <w:tbl>
      <w:tblPr>
        <w:tblpPr w:leftFromText="187" w:rightFromText="187" w:vertAnchor="page" w:horzAnchor="margin" w:tblpY="2768"/>
        <w:tblW w:w="5224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6595"/>
        <w:gridCol w:w="2835"/>
        <w:gridCol w:w="452"/>
      </w:tblGrid>
      <w:tr w:rsidR="001D573A" w:rsidRPr="003A6CA4" w:rsidTr="001D573A">
        <w:trPr>
          <w:trHeight w:val="2620"/>
        </w:trPr>
        <w:tc>
          <w:tcPr>
            <w:tcW w:w="659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1D573A" w:rsidRPr="003A6CA4" w:rsidRDefault="00C31034" w:rsidP="001D573A">
            <w:pPr>
              <w:pStyle w:val="NoSpacing"/>
              <w:rPr>
                <w:rFonts w:ascii="Times New Roman" w:eastAsiaTheme="majorEastAsia" w:hAnsi="Times New Roman" w:cs="Times New Roman"/>
                <w:sz w:val="76"/>
                <w:szCs w:val="7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96"/>
                  <w:szCs w:val="96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1D573A" w:rsidRPr="001D573A">
                  <w:rPr>
                    <w:rFonts w:ascii="Times New Roman" w:eastAsiaTheme="majorEastAsia" w:hAnsi="Times New Roman" w:cs="Times New Roman"/>
                    <w:sz w:val="96"/>
                    <w:szCs w:val="96"/>
                    <w:lang w:val="en-AU"/>
                  </w:rPr>
                  <w:t>Glossary and Acronyms</w:t>
                </w:r>
              </w:sdtContent>
            </w:sdt>
          </w:p>
        </w:tc>
        <w:tc>
          <w:tcPr>
            <w:tcW w:w="3287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1D573A" w:rsidRPr="003A6CA4" w:rsidRDefault="001D573A" w:rsidP="001D573A">
            <w:pPr>
              <w:pStyle w:val="NoSpacing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</w:p>
          <w:p w:rsidR="001D573A" w:rsidRPr="001D573A" w:rsidRDefault="001D573A" w:rsidP="001D573A">
            <w:pPr>
              <w:pStyle w:val="NoSpacing"/>
              <w:rPr>
                <w:rFonts w:ascii="Baskerville Old Face" w:hAnsi="Baskerville Old Face" w:cs="Times New Roman"/>
                <w:b/>
                <w:color w:val="4F81BD" w:themeColor="accent1"/>
                <w:sz w:val="144"/>
                <w:szCs w:val="144"/>
              </w:rPr>
            </w:pPr>
            <w:r w:rsidRPr="001D573A">
              <w:rPr>
                <w:rFonts w:ascii="Baskerville Old Face" w:hAnsi="Baskerville Old Face" w:cs="Times New Roman"/>
                <w:b/>
                <w:color w:val="4F81BD" w:themeColor="accent1"/>
                <w:sz w:val="144"/>
                <w:szCs w:val="144"/>
              </w:rPr>
              <w:t>201</w:t>
            </w:r>
            <w:r w:rsidR="00633AF9">
              <w:rPr>
                <w:rFonts w:ascii="Baskerville Old Face" w:hAnsi="Baskerville Old Face" w:cs="Times New Roman"/>
                <w:b/>
                <w:color w:val="4F81BD" w:themeColor="accent1"/>
                <w:sz w:val="144"/>
                <w:szCs w:val="144"/>
              </w:rPr>
              <w:t>7</w:t>
            </w:r>
          </w:p>
        </w:tc>
      </w:tr>
      <w:tr w:rsidR="001D573A" w:rsidRPr="003A6CA4" w:rsidTr="001D573A">
        <w:trPr>
          <w:trHeight w:val="1939"/>
        </w:trPr>
        <w:tc>
          <w:tcPr>
            <w:tcW w:w="9430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:rsidR="001D573A" w:rsidRPr="003A6CA4" w:rsidRDefault="00C31034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  <w:r w:rsidRPr="00C31034">
              <w:rPr>
                <w:rFonts w:ascii="Times New Roman" w:eastAsiaTheme="majorEastAsia" w:hAnsi="Times New Roman" w:cs="Times New Roman"/>
                <w:noProof/>
                <w:sz w:val="40"/>
                <w:szCs w:val="40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pt;margin-top:3.75pt;width:298.7pt;height:110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qf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" stroked="f">
                  <v:textbox style="mso-fit-shape-to-text:t">
                    <w:txbxContent>
                      <w:p w:rsidR="00633AF9" w:rsidRPr="001D573A" w:rsidRDefault="00633AF9" w:rsidP="001D573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7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-Neami National</w:t>
                        </w:r>
                      </w:p>
                      <w:p w:rsidR="00633AF9" w:rsidRPr="001D573A" w:rsidRDefault="00633AF9" w:rsidP="001D573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7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-Whitehorse Community Health Service</w:t>
                        </w:r>
                      </w:p>
                      <w:p w:rsidR="00633AF9" w:rsidRPr="001D573A" w:rsidRDefault="00633AF9" w:rsidP="001D573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7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-Eastern Health – Koonung Continuing Care Services</w:t>
                        </w:r>
                      </w:p>
                      <w:p w:rsidR="00633AF9" w:rsidRPr="001D573A" w:rsidRDefault="00633AF9" w:rsidP="001D573A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7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-Eastern Health - Alcohol and Drug Services</w:t>
                        </w:r>
                      </w:p>
                    </w:txbxContent>
                  </v:textbox>
                </v:shape>
              </w:pict>
            </w: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573A" w:rsidRDefault="001D573A" w:rsidP="001D5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D573A" w:rsidRDefault="001D573A" w:rsidP="001D5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The Aim</w:t>
            </w:r>
            <w:r w:rsidRPr="00452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this document</w:t>
            </w:r>
            <w:r w:rsidRPr="00574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 to classify the terms and the acronyms used widely within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Blackburn, Koonung Mental Health Centre, </w:t>
            </w:r>
            <w:r w:rsidRPr="009E5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horse Community Health Service and </w:t>
            </w:r>
            <w:r w:rsidRPr="009E5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Eastern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Health Drug and Alcohol Service.</w:t>
            </w:r>
          </w:p>
          <w:p w:rsidR="001D573A" w:rsidRDefault="001D573A" w:rsidP="001D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purpose of this document is; </w:t>
            </w:r>
          </w:p>
          <w:p w:rsidR="001D573A" w:rsidRPr="00F44182" w:rsidRDefault="001D573A" w:rsidP="001D5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44182">
              <w:rPr>
                <w:rFonts w:ascii="Times New Roman" w:hAnsi="Times New Roman" w:cs="Times New Roman"/>
                <w:sz w:val="24"/>
                <w:szCs w:val="24"/>
              </w:rPr>
              <w:t>explain any terminology which may or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not be familiar to the reader</w:t>
            </w:r>
          </w:p>
          <w:p w:rsidR="001D573A" w:rsidRDefault="001D573A" w:rsidP="001D5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Easily accessible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booklet for new and current staff with adequate information of Acronyms and Glossary from the above mentioned organisations.</w:t>
            </w:r>
          </w:p>
          <w:p w:rsidR="001D573A" w:rsidRPr="003F32C5" w:rsidRDefault="001D573A" w:rsidP="001D5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improve time management.</w:t>
            </w:r>
          </w:p>
          <w:p w:rsidR="001D573A" w:rsidRDefault="001D573A" w:rsidP="001D5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avoid confusion and thereby improving</w:t>
            </w:r>
            <w:r w:rsidRPr="00574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quality of service provided to the consumers and organisation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574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D573A" w:rsidRDefault="001D573A" w:rsidP="001D57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 be used as a working document and terms be added as necessary.</w:t>
            </w: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</w:rPr>
            </w:pPr>
            <w:r w:rsidRPr="003A6CA4">
              <w:rPr>
                <w:rFonts w:ascii="Times New Roman" w:hAnsi="Times New Roman" w:cs="Times New Roman"/>
              </w:rPr>
              <w:t xml:space="preserve">Aalia Mohamed Irfan Khan </w:t>
            </w: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</w:rPr>
            </w:pPr>
            <w:r w:rsidRPr="003A6CA4">
              <w:rPr>
                <w:rFonts w:ascii="Times New Roman" w:hAnsi="Times New Roman" w:cs="Times New Roman"/>
              </w:rPr>
              <w:t>Student - 17816131</w:t>
            </w: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</w:rPr>
            </w:pPr>
            <w:r w:rsidRPr="003A6CA4">
              <w:rPr>
                <w:rFonts w:ascii="Times New Roman" w:hAnsi="Times New Roman" w:cs="Times New Roman"/>
              </w:rPr>
              <w:t>Occupational Therapy</w:t>
            </w:r>
          </w:p>
          <w:p w:rsidR="001D573A" w:rsidRPr="003A6CA4" w:rsidRDefault="001D573A" w:rsidP="001D573A">
            <w:pPr>
              <w:pStyle w:val="NoSpacing"/>
              <w:rPr>
                <w:rFonts w:ascii="Times New Roman" w:hAnsi="Times New Roman" w:cs="Times New Roman"/>
                <w:sz w:val="48"/>
                <w:szCs w:val="48"/>
              </w:rPr>
            </w:pPr>
            <w:r w:rsidRPr="003A6CA4">
              <w:rPr>
                <w:rFonts w:ascii="Times New Roman" w:hAnsi="Times New Roman" w:cs="Times New Roman"/>
              </w:rPr>
              <w:t>La Trobe University.</w:t>
            </w:r>
          </w:p>
        </w:tc>
        <w:tc>
          <w:tcPr>
            <w:tcW w:w="452" w:type="dxa"/>
            <w:tcBorders>
              <w:top w:val="single" w:sz="18" w:space="0" w:color="808080" w:themeColor="background1" w:themeShade="80"/>
            </w:tcBorders>
            <w:vAlign w:val="center"/>
          </w:tcPr>
          <w:p w:rsidR="001D573A" w:rsidRPr="003A6CA4" w:rsidRDefault="001D573A" w:rsidP="001D573A">
            <w:pPr>
              <w:pStyle w:val="NoSpacing"/>
              <w:rPr>
                <w:rFonts w:ascii="Times New Roman" w:eastAsiaTheme="majorEastAsia" w:hAnsi="Times New Roman" w:cs="Times New Roman"/>
                <w:sz w:val="36"/>
                <w:szCs w:val="36"/>
              </w:rPr>
            </w:pPr>
          </w:p>
        </w:tc>
      </w:tr>
    </w:tbl>
    <w:p w:rsidR="001E2C93" w:rsidRDefault="001E2C93">
      <w:pPr>
        <w:rPr>
          <w:rFonts w:ascii="Times New Roman" w:hAnsi="Times New Roman" w:cs="Times New Roman"/>
        </w:rPr>
      </w:pPr>
    </w:p>
    <w:p w:rsidR="00912879" w:rsidRPr="002D5551" w:rsidRDefault="00B77875" w:rsidP="00192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551">
        <w:rPr>
          <w:rFonts w:ascii="Times New Roman" w:hAnsi="Times New Roman" w:cs="Times New Roman"/>
          <w:sz w:val="28"/>
          <w:szCs w:val="28"/>
        </w:rPr>
        <w:t>Neami National</w:t>
      </w:r>
      <w:r w:rsidR="00912879" w:rsidRPr="002D5551">
        <w:rPr>
          <w:rFonts w:ascii="Times New Roman" w:hAnsi="Times New Roman" w:cs="Times New Roman"/>
          <w:sz w:val="28"/>
          <w:szCs w:val="28"/>
        </w:rPr>
        <w:t xml:space="preserve"> </w:t>
      </w:r>
      <w:r w:rsidR="00192F50" w:rsidRPr="002D5551">
        <w:rPr>
          <w:rFonts w:ascii="Times New Roman" w:hAnsi="Times New Roman" w:cs="Times New Roman"/>
          <w:sz w:val="28"/>
          <w:szCs w:val="28"/>
        </w:rPr>
        <w:t>– Acronyms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AOD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and Other Drugs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AIMhi</w:t>
            </w:r>
            <w:proofErr w:type="spellEnd"/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Integrated Mental Health Initiative  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Smoking Substance Involvement Screening Tool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ASIST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Applied Suicide Intervention Skills Training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BASIS 32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Behavioural and Symptom Identification Scale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BHEPS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Box Hill Early Psychosis Service 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CALD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Culturally and Linguistically Diverse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CATT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Assessment and Treatment Team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CCT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Continuing Care Team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CCU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Care Unit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CHL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Housing Limited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CRM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Collaborative Recovery Model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CRSW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Rehabilitation &amp; Support Worker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DDx</w:t>
            </w:r>
            <w:proofErr w:type="spellEnd"/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Dual Diagnosis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D2DL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 to Day Living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DSP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Disability Support Pension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EDVOS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Eastern Domestic Violence Outreach Service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HBOS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Based Outreach Service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Housing and Accommodation Support Initiative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HACC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and Community Care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MIF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Illness Fellowship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PHaMS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Helpers and Mentors Program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Professional Development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072366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MHCSS</w:t>
            </w:r>
          </w:p>
        </w:tc>
        <w:tc>
          <w:tcPr>
            <w:tcW w:w="7716" w:type="dxa"/>
          </w:tcPr>
          <w:p w:rsidR="00912879" w:rsidRPr="00192F50" w:rsidRDefault="00072366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Community</w:t>
            </w:r>
            <w:r w:rsidR="00912879"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Support Service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RRSP 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Recovery and Resource Services Program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SRS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Supported Residential Service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THM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Transitional Housing Managers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VMIAC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 Mental Illness Awareness Council</w:t>
            </w:r>
          </w:p>
        </w:tc>
      </w:tr>
      <w:tr w:rsidR="00912879" w:rsidRPr="00192F50" w:rsidTr="00D529BE">
        <w:tc>
          <w:tcPr>
            <w:tcW w:w="152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NYCH</w:t>
            </w:r>
          </w:p>
        </w:tc>
        <w:tc>
          <w:tcPr>
            <w:tcW w:w="7716" w:type="dxa"/>
          </w:tcPr>
          <w:p w:rsidR="00912879" w:rsidRPr="00192F50" w:rsidRDefault="00912879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Youth Coalition for Housing</w:t>
            </w:r>
          </w:p>
        </w:tc>
      </w:tr>
    </w:tbl>
    <w:p w:rsidR="00192F50" w:rsidRDefault="00192F50">
      <w:pPr>
        <w:rPr>
          <w:rFonts w:ascii="Times New Roman" w:hAnsi="Times New Roman" w:cs="Times New Roman"/>
          <w:sz w:val="24"/>
          <w:szCs w:val="24"/>
        </w:rPr>
      </w:pPr>
    </w:p>
    <w:p w:rsidR="00192F50" w:rsidRPr="00D529BE" w:rsidRDefault="00192F50">
      <w:pPr>
        <w:rPr>
          <w:rFonts w:ascii="Times New Roman" w:hAnsi="Times New Roman" w:cs="Times New Roman"/>
          <w:sz w:val="28"/>
          <w:szCs w:val="28"/>
        </w:rPr>
      </w:pPr>
      <w:r w:rsidRPr="00D529BE">
        <w:rPr>
          <w:rFonts w:ascii="Times New Roman" w:hAnsi="Times New Roman" w:cs="Times New Roman"/>
          <w:sz w:val="28"/>
          <w:szCs w:val="28"/>
        </w:rPr>
        <w:t xml:space="preserve">Neami National- Others </w:t>
      </w:r>
      <w:r w:rsidR="002D5551">
        <w:rPr>
          <w:rFonts w:ascii="Times New Roman" w:hAnsi="Times New Roman" w:cs="Times New Roman"/>
          <w:sz w:val="28"/>
          <w:szCs w:val="28"/>
        </w:rPr>
        <w:t>general</w:t>
      </w:r>
      <w:r w:rsidRPr="00D529BE">
        <w:rPr>
          <w:rFonts w:ascii="Times New Roman" w:hAnsi="Times New Roman" w:cs="Times New Roman"/>
          <w:sz w:val="28"/>
          <w:szCs w:val="28"/>
        </w:rPr>
        <w:t xml:space="preserve"> acronyms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Acceptance and Commitment Therapy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ADL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Activities of Daily Living (can be: Personal/ PADL’s or Domestic /DADL’s or Community /CADL’s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AMPS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Assessment of Motor &amp; Process Skills (O/T </w:t>
            </w: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tool)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  <w:r w:rsidR="00BD0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Australian Nursing </w:t>
            </w:r>
            <w:r w:rsidR="00BD0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Midwives </w:t>
            </w: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Federation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AMHS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Mental Health Service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ARAFEMI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Association of Relatives and Friends of the Emotionally &amp; Mentally Ill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Research Council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ATOR</w:t>
            </w:r>
          </w:p>
        </w:tc>
        <w:tc>
          <w:tcPr>
            <w:tcW w:w="7716" w:type="dxa"/>
          </w:tcPr>
          <w:p w:rsidR="00192F50" w:rsidRPr="00192F50" w:rsidRDefault="00192F50" w:rsidP="00072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 </w:t>
            </w:r>
            <w:r w:rsidR="0007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Of Report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Behavioural Intervention Support Team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Borderline Personality Disorder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BPAD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Bipolar Affective Disorder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CAMHS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/Adolescent Mental Health Services (no longer used/ refer CYMHS)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Cognitive Behaviour Therapy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CMHC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Mental Health Clinic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CYMHS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Youth Mental Health Service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 of Shift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CRAM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Clinical Risk Assessment and Management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CRCCU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Canterbury Road Community Care Unit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CROP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Community Recreation Outreach Project (A </w:t>
            </w: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Boroondara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Council initiative)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Manager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Management Team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CTO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Treatment 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DACSA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Domestic And Community Skills Assessment (OT </w:t>
            </w: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Tool)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Dialectical Behaviour Therapy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</w:t>
            </w:r>
            <w:r w:rsidR="0007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</w:t>
            </w:r>
            <w:r w:rsidR="00072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and </w:t>
            </w: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Services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DSH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Deliberate Self Harm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DSP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Disability Pension Support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Disability Support Scheme/ Department of Social Security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Eastern Access Community Health 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 Convulsive Therapy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EEG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 Encephalograph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ECG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Electrocardiograph 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ECHO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Echocardiogram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Eastern Drug and Alcohol Services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EDM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Early Discharge Management 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ETOH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FAPMI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Families and parents with mental illness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FTD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Formal Thought Disorder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Focus of Care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HACSU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and Community Services Union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HONOS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of the Nation Outcomes Scales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Hx</w:t>
            </w:r>
            <w:proofErr w:type="spellEnd"/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IECHS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Inner East Community Health Service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IPU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Patient Unit (Upton House, IPU1, IPU2)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IPRSS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 Psychosocial Rehabilitation and Support Service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IRP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 Recovery Plan (replaces ISP “Individual Service Plan”)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IVO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Intervention Order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KK meals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Katrina’s Kitchen Meal (used CRCCU only)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LSP 16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Skills Profile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MSE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Status Examination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MACNI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Multiple and Complex Needs Initiative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MAICD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 of the Australian Institute of Company Directors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MBCT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Mindfulness Based Cognitive Therapy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MHCA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Council of Australia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MHAPD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Accommodation Pathway at Discharge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BD007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MHT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BD007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Tribunal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MIF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Illness Fellowship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MSTS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Support and Treatment Services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Mx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Medication Management</w:t>
            </w:r>
          </w:p>
        </w:tc>
      </w:tr>
      <w:tr w:rsidR="00854D33" w:rsidRPr="00192F50" w:rsidTr="00D529BE">
        <w:tc>
          <w:tcPr>
            <w:tcW w:w="1526" w:type="dxa"/>
            <w:shd w:val="clear" w:color="auto" w:fill="auto"/>
          </w:tcPr>
          <w:p w:rsidR="00854D33" w:rsidRPr="00192F50" w:rsidRDefault="00854D3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NDIS</w:t>
            </w:r>
          </w:p>
        </w:tc>
        <w:tc>
          <w:tcPr>
            <w:tcW w:w="7716" w:type="dxa"/>
            <w:shd w:val="clear" w:color="auto" w:fill="auto"/>
          </w:tcPr>
          <w:p w:rsidR="00854D33" w:rsidRPr="00192F50" w:rsidRDefault="00854D3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Disability Insurance Scheme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Non-Government Organisation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OCAIRS</w:t>
            </w:r>
          </w:p>
        </w:tc>
        <w:tc>
          <w:tcPr>
            <w:tcW w:w="771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Occupational Circumstances Assessment Interview Rating Scale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OH&amp;S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Occupational Health and Safety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OOA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 of Area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OOH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 of Housing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</w:p>
        </w:tc>
      </w:tr>
      <w:tr w:rsidR="00192F50" w:rsidRPr="00192F50" w:rsidTr="00D529BE">
        <w:tc>
          <w:tcPr>
            <w:tcW w:w="1526" w:type="dxa"/>
            <w:shd w:val="clear" w:color="auto" w:fill="auto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Prevention and Recovery Centre Service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Personality Disorder (usually referred to as BPD)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PHAMS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Helpers &amp; Mentor Program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Pharmaceutical benefit Scheme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PJC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Peter James Centre (Eastern Health’s Aged Care Facility)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PRN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(pro re </w:t>
            </w: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/Latin) “As needed”/ pertaining to medication (usually)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PTSD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Post-Traumatic Stress Disorder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Partners in Recovery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RDNS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Royal District Nursing Service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RCTO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Revoked Community Treatment 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Rest in Bed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Rx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Schizo-Affective Disorder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Secure Extended Care Unit (@ Austin Hosp.)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Supported Residential Service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Sx</w:t>
            </w:r>
            <w:proofErr w:type="spellEnd"/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Symptoms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THC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Tetrahydrocannabiol</w:t>
            </w:r>
            <w:proofErr w:type="spellEnd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Chemical term for Marijuana (&amp; derivative)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of Return a.k.a. Time of Report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Tx</w:t>
            </w:r>
            <w:proofErr w:type="spellEnd"/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Urine Drug Screen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VATMI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Victorian Aid to the Mentally Ill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VCAT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Victorian Civil Administrative Tribunal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WRAP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Wellness Recovery Action Plan </w:t>
            </w:r>
          </w:p>
        </w:tc>
      </w:tr>
      <w:tr w:rsidR="00192F50" w:rsidRPr="00192F50" w:rsidTr="00D529BE">
        <w:tc>
          <w:tcPr>
            <w:tcW w:w="152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YAMHS</w:t>
            </w:r>
          </w:p>
        </w:tc>
        <w:tc>
          <w:tcPr>
            <w:tcW w:w="7716" w:type="dxa"/>
          </w:tcPr>
          <w:p w:rsidR="00192F50" w:rsidRPr="00192F50" w:rsidRDefault="00192F50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 Adult Mental Health Service</w:t>
            </w:r>
          </w:p>
        </w:tc>
      </w:tr>
    </w:tbl>
    <w:p w:rsidR="00192F50" w:rsidRPr="003E1EB3" w:rsidRDefault="00192F50" w:rsidP="00192F50">
      <w:pPr>
        <w:pStyle w:val="NoSpacing"/>
        <w:rPr>
          <w:color w:val="000000" w:themeColor="text1"/>
        </w:rPr>
      </w:pPr>
    </w:p>
    <w:p w:rsidR="00192F50" w:rsidRDefault="00192F50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>
      <w:pPr>
        <w:rPr>
          <w:rFonts w:ascii="Times New Roman" w:hAnsi="Times New Roman" w:cs="Times New Roman"/>
          <w:sz w:val="24"/>
          <w:szCs w:val="24"/>
        </w:rPr>
      </w:pPr>
    </w:p>
    <w:p w:rsidR="00DD2FE3" w:rsidRPr="00DD2FE3" w:rsidRDefault="00DD2FE3" w:rsidP="00DD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49">
        <w:rPr>
          <w:rFonts w:ascii="Times New Roman" w:hAnsi="Times New Roman" w:cs="Times New Roman"/>
          <w:sz w:val="28"/>
          <w:szCs w:val="28"/>
        </w:rPr>
        <w:t>Whitehorse Community Health Service</w:t>
      </w:r>
      <w:r>
        <w:rPr>
          <w:rFonts w:ascii="Times New Roman" w:hAnsi="Times New Roman" w:cs="Times New Roman"/>
          <w:sz w:val="28"/>
          <w:szCs w:val="28"/>
        </w:rPr>
        <w:t xml:space="preserve">- Acronyms </w:t>
      </w: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Board of Management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CAG(s)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Community Advisory Groups(s)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Chief Executive Officer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CHOPER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Community Health Outreach Program Eastern Region (WCHS program)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proofErr w:type="spellEnd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City of Whitehorse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CPN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Clinical Placement Network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CQI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Continuous </w:t>
            </w:r>
            <w:r w:rsidR="00D529B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uality </w:t>
            </w:r>
            <w:r w:rsidR="00D52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mprovement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CSM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Corporate Services Manager (now called General Manager Corporate Services)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EMR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Eastern Metro Region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EMR DISC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Eastern Metro Region Diabetes Initiatives Steering Committee (formally EMR DSIG –group)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EMROHN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Eastern Metro Region Oral Health Network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FASA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Funding and Service Agreement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FO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Finance Officer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FYI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For Your Information (WCHS staff newsletter)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GDCD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i/>
                <w:sz w:val="24"/>
                <w:szCs w:val="24"/>
              </w:rPr>
              <w:t>Goal Directed Care Planning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GLC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Good Life Club (WCHS program)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GLG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Good Life Gym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GMCS/SS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General Manager Corporate Services/ Support Services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GMHD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General Manager Health Development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GMPHC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General Manager Primary Health Care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GMSD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General Manager Service Development (formally SPM)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Health Access Team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HDM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Health Development Manager (now called General Manager Health Development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HPWG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Health Promoting Workplace Group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HRO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Human Resources Officer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ICC 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Integrated Care Coordinator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ICR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Integrated Care Response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Information Communications Technology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Integrated Diabetes Education &amp; Assessment Services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IECP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Inner East Primary Care Partnership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IHP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Integrated Health Program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IHPP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Integrated Health Promotion Plan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ITO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Information Technology Officer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Men’s Shed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Men’s Health program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MMC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Men Making Change Program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Management Team (formal executive forum &amp; procedure –approval body)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NSP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Needle Syringe Program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OHS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Occupational Health and Safety 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WCHS Operational </w:t>
            </w:r>
            <w:r w:rsidR="00D5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ystem (re WCHS procedures)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Problem Area in Diabetes (standardized assessment tool)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PDs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WCHS Position Descriptions (staff) 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PHCM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Primary Health Care Manager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PHCR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Primary Health Care Review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Public Housing Estate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PHM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Primary Health Manager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Public Records Office Victoria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QAP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Quality Awards Partners (distributor of QAP- Health Legal compliance software)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QM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Quality Manager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Quality Coordinator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RMAD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Residents Making a Difference (WCHS program)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Salpac</w:t>
            </w:r>
            <w:proofErr w:type="spellEnd"/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Salary packaging contractor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Service Delivery System (re WCHS procedures)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SPOT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Speech and Occupational Therapist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Whitehorse Community Health Service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WGLC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Good life Club (WCHS Program)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WHET</w:t>
            </w:r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 Eco Action Team (non-current)</w:t>
            </w:r>
          </w:p>
        </w:tc>
      </w:tr>
      <w:tr w:rsidR="00DD2FE3" w:rsidRPr="00DD2FE3" w:rsidTr="00D529BE">
        <w:tc>
          <w:tcPr>
            <w:tcW w:w="1384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Woogle</w:t>
            </w:r>
            <w:proofErr w:type="spellEnd"/>
          </w:p>
        </w:tc>
        <w:tc>
          <w:tcPr>
            <w:tcW w:w="7858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WCHS’s intranet</w:t>
            </w:r>
          </w:p>
        </w:tc>
      </w:tr>
    </w:tbl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P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  <w:r w:rsidRPr="00DD2FE3">
        <w:rPr>
          <w:rFonts w:ascii="Times New Roman" w:hAnsi="Times New Roman" w:cs="Times New Roman"/>
          <w:sz w:val="24"/>
          <w:szCs w:val="24"/>
        </w:rPr>
        <w:t xml:space="preserve">Whitehorse Community Health Service-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2FE3">
        <w:rPr>
          <w:rFonts w:ascii="Times New Roman" w:hAnsi="Times New Roman" w:cs="Times New Roman"/>
          <w:sz w:val="24"/>
          <w:szCs w:val="24"/>
        </w:rPr>
        <w:t xml:space="preserve">ther </w:t>
      </w:r>
      <w:r w:rsidR="00D529BE">
        <w:rPr>
          <w:rFonts w:ascii="Times New Roman" w:hAnsi="Times New Roman" w:cs="Times New Roman"/>
          <w:sz w:val="24"/>
          <w:szCs w:val="24"/>
        </w:rPr>
        <w:t>g</w:t>
      </w:r>
      <w:r w:rsidRPr="00DD2FE3">
        <w:rPr>
          <w:rFonts w:ascii="Times New Roman" w:hAnsi="Times New Roman" w:cs="Times New Roman"/>
          <w:sz w:val="24"/>
          <w:szCs w:val="24"/>
        </w:rPr>
        <w:t>eneral acronyms</w:t>
      </w:r>
    </w:p>
    <w:tbl>
      <w:tblPr>
        <w:tblStyle w:val="TableGrid"/>
        <w:tblW w:w="0" w:type="auto"/>
        <w:tblLook w:val="04A0"/>
      </w:tblPr>
      <w:tblGrid>
        <w:gridCol w:w="1537"/>
        <w:gridCol w:w="7705"/>
      </w:tblGrid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AAQHC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Association Quality Health Care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ACHSM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College of Health Service Management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AHRI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Human Resources Institute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ANEX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Needle &amp; Syringe Association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AOD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and Other Drugs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ASIC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Australian Securities &amp; Investments Commission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ATSI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Aboriginal and Torres Strait Islander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 Service Model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BHI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Box Hill Institute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CALD 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Culturally and Linguistically Diverse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CATT 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Assessment and Treatment Team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DH or </w:t>
            </w:r>
            <w:proofErr w:type="spellStart"/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</w:t>
            </w:r>
            <w:proofErr w:type="spellEnd"/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Victorian Department of Health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DHS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Victorian Department of Human Services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DHSV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Dental Health Services Victoria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Commonwealth Department of Health and Ageing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DPCD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Victorian Department of Planning and Community Development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Department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EFT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Equivalent (effective) Full time (staff)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EICD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Intervention in Chronic Disease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FOI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Freedom of Information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FV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Violence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General Practitioner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HACC 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Commonwealth Home and Community Care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HARP 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Hospital Admission Risk Program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HMS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Health Management System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Health Promotion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Initial Needs Identification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LGA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Local Government Area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MEGPN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Melbourne East General Practice Network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MOU(s)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Memorandum of Understanding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NADRASCA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A disability services Organisation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Q&amp;R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Quality and Risk (committee)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RDNS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Royal district Nursing Service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R&amp;A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Risk and Audit (sub-committee)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Service Coordination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SCTT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Service Coordination Tool Templates (Victorian Government standardized set of tools available in print and embedded into the </w:t>
            </w:r>
            <w:proofErr w:type="spellStart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TrakCare</w:t>
            </w:r>
            <w:proofErr w:type="spellEnd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 system)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SEIFA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Socio-economic Indexes for Areas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Strategic Projects Manager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Titanium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Government standard client database system for storing and accessing oral health records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Trakcare</w:t>
            </w:r>
            <w:proofErr w:type="spellEnd"/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Government standard client management system for storing and accessing information and records (non-Oral Health)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UR (number)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Unique Record number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VAADA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Alcohol and Drug Association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VAGO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Auditor General Office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VHA</w:t>
            </w:r>
          </w:p>
        </w:tc>
        <w:tc>
          <w:tcPr>
            <w:tcW w:w="7705" w:type="dxa"/>
          </w:tcPr>
          <w:p w:rsidR="00DD2FE3" w:rsidRPr="00DD2FE3" w:rsidRDefault="00683127" w:rsidP="006831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Victorian H</w:t>
            </w:r>
            <w:r w:rsidR="00DD2FE3" w:rsidRPr="00DD2FE3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D2FE3" w:rsidRPr="00DD2FE3">
              <w:rPr>
                <w:rFonts w:ascii="Times New Roman" w:hAnsi="Times New Roman" w:cs="Times New Roman"/>
                <w:sz w:val="24"/>
                <w:szCs w:val="24"/>
              </w:rPr>
              <w:t>are Association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VHIA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Hospitals Industry Association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VHIMS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Health Incident Management System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VMIA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Victorian Managed Insurance Authority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World Health Organisation</w:t>
            </w:r>
          </w:p>
        </w:tc>
      </w:tr>
      <w:tr w:rsidR="00DD2FE3" w:rsidRPr="00DD2FE3" w:rsidTr="00DD2FE3">
        <w:tc>
          <w:tcPr>
            <w:tcW w:w="1537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WWCC</w:t>
            </w:r>
          </w:p>
        </w:tc>
        <w:tc>
          <w:tcPr>
            <w:tcW w:w="7705" w:type="dxa"/>
          </w:tcPr>
          <w:p w:rsidR="00DD2FE3" w:rsidRPr="00DD2FE3" w:rsidRDefault="00DD2FE3" w:rsidP="00D529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2FE3">
              <w:rPr>
                <w:rFonts w:ascii="Times New Roman" w:hAnsi="Times New Roman" w:cs="Times New Roman"/>
                <w:sz w:val="24"/>
                <w:szCs w:val="24"/>
              </w:rPr>
              <w:t>Working with Children Check</w:t>
            </w:r>
          </w:p>
        </w:tc>
      </w:tr>
    </w:tbl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DD2FE3" w:rsidRPr="00DD2FE3" w:rsidRDefault="00DD2FE3" w:rsidP="00DD2FE3">
      <w:pPr>
        <w:rPr>
          <w:rFonts w:ascii="Times New Roman" w:hAnsi="Times New Roman" w:cs="Times New Roman"/>
          <w:sz w:val="24"/>
          <w:szCs w:val="24"/>
        </w:rPr>
      </w:pPr>
    </w:p>
    <w:p w:rsidR="002A77D9" w:rsidRPr="00D529BE" w:rsidRDefault="00542DDD" w:rsidP="00DD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9BE">
        <w:rPr>
          <w:rFonts w:ascii="Times New Roman" w:hAnsi="Times New Roman" w:cs="Times New Roman"/>
          <w:sz w:val="28"/>
          <w:szCs w:val="28"/>
        </w:rPr>
        <w:t>E</w:t>
      </w:r>
      <w:r w:rsidR="00EB77C4">
        <w:rPr>
          <w:rFonts w:ascii="Times New Roman" w:hAnsi="Times New Roman" w:cs="Times New Roman"/>
          <w:sz w:val="28"/>
          <w:szCs w:val="28"/>
        </w:rPr>
        <w:t>astern Mental Health Services</w:t>
      </w: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5501C6" w:rsidRPr="00912879" w:rsidTr="004E65BB">
        <w:tc>
          <w:tcPr>
            <w:tcW w:w="1526" w:type="dxa"/>
          </w:tcPr>
          <w:p w:rsidR="005501C6" w:rsidRPr="00912879" w:rsidRDefault="005501C6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MSTS</w:t>
            </w:r>
            <w:r w:rsidR="00D4282F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</w:p>
        </w:tc>
        <w:tc>
          <w:tcPr>
            <w:tcW w:w="7716" w:type="dxa"/>
          </w:tcPr>
          <w:p w:rsidR="005501C6" w:rsidRPr="00912879" w:rsidRDefault="005501C6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 Mobile Support and Treatment Service</w:t>
            </w:r>
            <w:r w:rsidR="00D4282F">
              <w:rPr>
                <w:rFonts w:ascii="Times New Roman" w:hAnsi="Times New Roman" w:cs="Times New Roman"/>
                <w:sz w:val="24"/>
                <w:szCs w:val="24"/>
              </w:rPr>
              <w:t>/Team</w:t>
            </w:r>
          </w:p>
        </w:tc>
      </w:tr>
      <w:tr w:rsidR="005B2D1D" w:rsidRPr="00912879" w:rsidTr="004E65BB">
        <w:tc>
          <w:tcPr>
            <w:tcW w:w="1526" w:type="dxa"/>
          </w:tcPr>
          <w:p w:rsidR="005B2D1D" w:rsidRPr="00912879" w:rsidRDefault="005B2D1D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CATT</w:t>
            </w:r>
          </w:p>
        </w:tc>
        <w:tc>
          <w:tcPr>
            <w:tcW w:w="7716" w:type="dxa"/>
          </w:tcPr>
          <w:p w:rsidR="005B2D1D" w:rsidRPr="00912879" w:rsidRDefault="005B2D1D" w:rsidP="005B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Crisis Assessment and Treatment Team</w:t>
            </w:r>
          </w:p>
        </w:tc>
      </w:tr>
      <w:tr w:rsidR="00C10179" w:rsidRPr="00912879" w:rsidTr="004E65BB">
        <w:tc>
          <w:tcPr>
            <w:tcW w:w="1526" w:type="dxa"/>
          </w:tcPr>
          <w:p w:rsidR="00C10179" w:rsidRPr="00912879" w:rsidRDefault="00C10179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CCT</w:t>
            </w:r>
          </w:p>
        </w:tc>
        <w:tc>
          <w:tcPr>
            <w:tcW w:w="7716" w:type="dxa"/>
          </w:tcPr>
          <w:p w:rsidR="00C10179" w:rsidRPr="00912879" w:rsidRDefault="00C10179" w:rsidP="00C1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Continuing Care Team </w:t>
            </w:r>
            <w:r w:rsidR="00633AF9">
              <w:rPr>
                <w:rFonts w:ascii="Times New Roman" w:hAnsi="Times New Roman" w:cs="Times New Roman"/>
                <w:sz w:val="24"/>
                <w:szCs w:val="24"/>
              </w:rPr>
              <w:t>(Clinics)</w:t>
            </w:r>
          </w:p>
        </w:tc>
      </w:tr>
      <w:tr w:rsidR="001B7F67" w:rsidRPr="00912879" w:rsidTr="004E65BB">
        <w:tc>
          <w:tcPr>
            <w:tcW w:w="1526" w:type="dxa"/>
          </w:tcPr>
          <w:p w:rsidR="001B7F67" w:rsidRPr="00912879" w:rsidRDefault="001B7F67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CYMHS</w:t>
            </w:r>
          </w:p>
        </w:tc>
        <w:tc>
          <w:tcPr>
            <w:tcW w:w="7716" w:type="dxa"/>
          </w:tcPr>
          <w:p w:rsidR="001B7F67" w:rsidRPr="00912879" w:rsidRDefault="001B7F67" w:rsidP="001B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Child &amp; Youth Mental Health Service</w:t>
            </w:r>
          </w:p>
        </w:tc>
      </w:tr>
      <w:tr w:rsidR="00CE3389" w:rsidRPr="00912879" w:rsidTr="004E65BB">
        <w:tc>
          <w:tcPr>
            <w:tcW w:w="1526" w:type="dxa"/>
          </w:tcPr>
          <w:p w:rsidR="00CE3389" w:rsidRPr="00912879" w:rsidRDefault="00CE3389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ECRU</w:t>
            </w:r>
          </w:p>
        </w:tc>
        <w:tc>
          <w:tcPr>
            <w:tcW w:w="7716" w:type="dxa"/>
          </w:tcPr>
          <w:p w:rsidR="00CE3389" w:rsidRPr="00912879" w:rsidRDefault="00CE3389" w:rsidP="00CE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Eastern Clinical Research Unit </w:t>
            </w:r>
          </w:p>
        </w:tc>
      </w:tr>
      <w:tr w:rsidR="005501C6" w:rsidRPr="00912879" w:rsidTr="004E65BB">
        <w:tc>
          <w:tcPr>
            <w:tcW w:w="1526" w:type="dxa"/>
          </w:tcPr>
          <w:p w:rsidR="005501C6" w:rsidRPr="00912879" w:rsidRDefault="005501C6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7716" w:type="dxa"/>
          </w:tcPr>
          <w:p w:rsidR="005501C6" w:rsidRPr="00912879" w:rsidRDefault="005501C6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Electro Convulsive Treatment</w:t>
            </w:r>
          </w:p>
        </w:tc>
      </w:tr>
      <w:tr w:rsidR="004005BC" w:rsidRPr="00912879" w:rsidTr="004E65BB">
        <w:tc>
          <w:tcPr>
            <w:tcW w:w="1526" w:type="dxa"/>
          </w:tcPr>
          <w:p w:rsidR="004005BC" w:rsidRPr="00912879" w:rsidRDefault="004005BC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FaPMI</w:t>
            </w:r>
            <w:proofErr w:type="spellEnd"/>
          </w:p>
        </w:tc>
        <w:tc>
          <w:tcPr>
            <w:tcW w:w="7716" w:type="dxa"/>
          </w:tcPr>
          <w:p w:rsidR="004005BC" w:rsidRPr="00912879" w:rsidRDefault="004005BC" w:rsidP="004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Families Where a Parent has a Mental Illness </w:t>
            </w:r>
          </w:p>
        </w:tc>
      </w:tr>
      <w:tr w:rsidR="005501C6" w:rsidRPr="00912879" w:rsidTr="004E65BB">
        <w:tc>
          <w:tcPr>
            <w:tcW w:w="152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MHCC</w:t>
            </w:r>
          </w:p>
        </w:tc>
        <w:tc>
          <w:tcPr>
            <w:tcW w:w="771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Mental Health Complaint</w:t>
            </w:r>
            <w:r w:rsidR="00854D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 Commissioner</w:t>
            </w:r>
          </w:p>
        </w:tc>
      </w:tr>
      <w:tr w:rsidR="005501C6" w:rsidRPr="00912879" w:rsidTr="004E65BB">
        <w:tc>
          <w:tcPr>
            <w:tcW w:w="152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MSTS</w:t>
            </w:r>
          </w:p>
        </w:tc>
        <w:tc>
          <w:tcPr>
            <w:tcW w:w="771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Mobile Support and Treatment Service</w:t>
            </w:r>
          </w:p>
        </w:tc>
      </w:tr>
      <w:tr w:rsidR="00CE3389" w:rsidRPr="00912879" w:rsidTr="004E65BB">
        <w:tc>
          <w:tcPr>
            <w:tcW w:w="1526" w:type="dxa"/>
          </w:tcPr>
          <w:p w:rsidR="00CE3389" w:rsidRPr="00912879" w:rsidRDefault="00CE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716" w:type="dxa"/>
          </w:tcPr>
          <w:p w:rsidR="00CE3389" w:rsidRPr="00912879" w:rsidRDefault="00CE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</w:p>
        </w:tc>
      </w:tr>
      <w:tr w:rsidR="005501C6" w:rsidRPr="00912879" w:rsidTr="004E65BB">
        <w:tc>
          <w:tcPr>
            <w:tcW w:w="152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TTO</w:t>
            </w:r>
          </w:p>
        </w:tc>
        <w:tc>
          <w:tcPr>
            <w:tcW w:w="771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Temporary Treatment Order</w:t>
            </w:r>
          </w:p>
        </w:tc>
      </w:tr>
      <w:tr w:rsidR="005501C6" w:rsidRPr="00912879" w:rsidTr="004E65BB">
        <w:tc>
          <w:tcPr>
            <w:tcW w:w="152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VMIAC</w:t>
            </w:r>
          </w:p>
        </w:tc>
        <w:tc>
          <w:tcPr>
            <w:tcW w:w="7716" w:type="dxa"/>
          </w:tcPr>
          <w:p w:rsidR="005501C6" w:rsidRPr="00912879" w:rsidRDefault="0055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Victorian Mental Illness Awareness Council</w:t>
            </w:r>
          </w:p>
        </w:tc>
      </w:tr>
      <w:tr w:rsidR="00633AF9" w:rsidRPr="00912879" w:rsidTr="004E65BB">
        <w:tc>
          <w:tcPr>
            <w:tcW w:w="1526" w:type="dxa"/>
          </w:tcPr>
          <w:p w:rsidR="00633AF9" w:rsidRPr="00912879" w:rsidRDefault="006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</w:p>
        </w:tc>
        <w:tc>
          <w:tcPr>
            <w:tcW w:w="7716" w:type="dxa"/>
          </w:tcPr>
          <w:p w:rsidR="00633AF9" w:rsidRPr="00912879" w:rsidRDefault="006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Intervention Team</w:t>
            </w:r>
          </w:p>
        </w:tc>
      </w:tr>
      <w:tr w:rsidR="00633AF9" w:rsidRPr="00912879" w:rsidTr="004E65BB">
        <w:tc>
          <w:tcPr>
            <w:tcW w:w="1526" w:type="dxa"/>
          </w:tcPr>
          <w:p w:rsidR="00633AF9" w:rsidRDefault="006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</w:t>
            </w:r>
          </w:p>
        </w:tc>
        <w:tc>
          <w:tcPr>
            <w:tcW w:w="7716" w:type="dxa"/>
          </w:tcPr>
          <w:p w:rsidR="00633AF9" w:rsidRDefault="003D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Assessment &amp; Planning Unit</w:t>
            </w:r>
          </w:p>
        </w:tc>
      </w:tr>
      <w:tr w:rsidR="00633AF9" w:rsidRPr="00912879" w:rsidTr="004E65BB">
        <w:tc>
          <w:tcPr>
            <w:tcW w:w="1526" w:type="dxa"/>
          </w:tcPr>
          <w:p w:rsidR="00633AF9" w:rsidRDefault="006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CCU</w:t>
            </w:r>
          </w:p>
        </w:tc>
        <w:tc>
          <w:tcPr>
            <w:tcW w:w="7716" w:type="dxa"/>
          </w:tcPr>
          <w:p w:rsidR="00633AF9" w:rsidRDefault="006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Care Unit</w:t>
            </w:r>
          </w:p>
        </w:tc>
      </w:tr>
      <w:tr w:rsidR="00EB77C4" w:rsidRPr="00912879" w:rsidTr="004E65BB">
        <w:tc>
          <w:tcPr>
            <w:tcW w:w="1526" w:type="dxa"/>
          </w:tcPr>
          <w:p w:rsidR="00EB77C4" w:rsidRDefault="00E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PJC</w:t>
            </w:r>
          </w:p>
        </w:tc>
        <w:tc>
          <w:tcPr>
            <w:tcW w:w="7716" w:type="dxa"/>
          </w:tcPr>
          <w:p w:rsidR="00EB77C4" w:rsidRDefault="00EB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James Centre</w:t>
            </w:r>
          </w:p>
        </w:tc>
      </w:tr>
      <w:tr w:rsidR="00D4282F" w:rsidRPr="00912879" w:rsidTr="004E65BB">
        <w:tc>
          <w:tcPr>
            <w:tcW w:w="152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ACAT</w:t>
            </w:r>
          </w:p>
        </w:tc>
        <w:tc>
          <w:tcPr>
            <w:tcW w:w="771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Aged Care Assessment Team</w:t>
            </w:r>
          </w:p>
        </w:tc>
      </w:tr>
      <w:tr w:rsidR="00D4282F" w:rsidRPr="00912879" w:rsidTr="004E65BB">
        <w:tc>
          <w:tcPr>
            <w:tcW w:w="152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PARC </w:t>
            </w:r>
          </w:p>
        </w:tc>
        <w:tc>
          <w:tcPr>
            <w:tcW w:w="771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and Recovery Centre</w:t>
            </w:r>
          </w:p>
        </w:tc>
      </w:tr>
      <w:tr w:rsidR="00D4282F" w:rsidRPr="00912879" w:rsidTr="004E65BB">
        <w:tc>
          <w:tcPr>
            <w:tcW w:w="152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AIPU</w:t>
            </w:r>
          </w:p>
        </w:tc>
        <w:tc>
          <w:tcPr>
            <w:tcW w:w="7716" w:type="dxa"/>
          </w:tcPr>
          <w:p w:rsidR="00D4282F" w:rsidRDefault="00D4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 In-Patient Unit</w:t>
            </w:r>
          </w:p>
        </w:tc>
      </w:tr>
      <w:tr w:rsidR="00854D33" w:rsidRPr="00912879" w:rsidTr="004E65BB">
        <w:tc>
          <w:tcPr>
            <w:tcW w:w="1526" w:type="dxa"/>
          </w:tcPr>
          <w:p w:rsidR="00854D33" w:rsidRDefault="008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EPT</w:t>
            </w:r>
          </w:p>
        </w:tc>
        <w:tc>
          <w:tcPr>
            <w:tcW w:w="7716" w:type="dxa"/>
          </w:tcPr>
          <w:p w:rsidR="00854D33" w:rsidRDefault="008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Psychosis Team</w:t>
            </w:r>
          </w:p>
        </w:tc>
      </w:tr>
    </w:tbl>
    <w:p w:rsidR="004E65BB" w:rsidRPr="00912879" w:rsidRDefault="004E65BB">
      <w:pPr>
        <w:rPr>
          <w:rFonts w:ascii="Times New Roman" w:hAnsi="Times New Roman" w:cs="Times New Roman"/>
          <w:sz w:val="24"/>
          <w:szCs w:val="24"/>
        </w:rPr>
      </w:pPr>
    </w:p>
    <w:p w:rsidR="00B774D9" w:rsidRPr="00DD2FE3" w:rsidRDefault="00072366" w:rsidP="00DD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Turning Point Eastern Treatment Service (TPETS) </w:t>
      </w:r>
    </w:p>
    <w:tbl>
      <w:tblPr>
        <w:tblStyle w:val="TableGrid"/>
        <w:tblW w:w="0" w:type="auto"/>
        <w:tblLook w:val="04A0"/>
      </w:tblPr>
      <w:tblGrid>
        <w:gridCol w:w="1723"/>
        <w:gridCol w:w="7519"/>
      </w:tblGrid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Alcoholics Anonymous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Acquired Brain Injury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Acceptance and Commitment Therapy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ADCA 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Alcohol and other Drugs Council of Australia 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Australian Drug Foundation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AOD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 and Other Drugs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Action for Recovery </w:t>
            </w:r>
          </w:p>
        </w:tc>
      </w:tr>
      <w:tr w:rsidR="00296684" w:rsidRPr="00912879" w:rsidTr="00DD2FE3">
        <w:tc>
          <w:tcPr>
            <w:tcW w:w="1723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BPD</w:t>
            </w:r>
          </w:p>
        </w:tc>
        <w:tc>
          <w:tcPr>
            <w:tcW w:w="7519" w:type="dxa"/>
          </w:tcPr>
          <w:p w:rsidR="00296684" w:rsidRPr="00912879" w:rsidRDefault="00296684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Borderline Personality Disorder 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CALDSUMHR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Culturally and Linguistically Diverse Substance Use and Mental Health Resource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CATT 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Assessment and Treatment Team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CBT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Cognitive Behavioural Therapy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CCO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Community Corrections Officer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CDM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Chronic disease management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CPR</w:t>
            </w:r>
          </w:p>
        </w:tc>
        <w:tc>
          <w:tcPr>
            <w:tcW w:w="7519" w:type="dxa"/>
          </w:tcPr>
          <w:p w:rsidR="00DD2FE3" w:rsidRPr="00912879" w:rsidRDefault="00DD2FE3" w:rsidP="00AC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Cardiopulmonary Resuscitation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DACAS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Drug and Alcohol Clinical Advisory Service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DOH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Department of Health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EDAS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Eastern Drug and Alcohol Service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FDH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Family Drug Help 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IECHS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Inner East Community Health Service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LSD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Lysergic acid diethylamide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Media Awareness Project  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MDMA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3,4-methylenedioxy-N-methylamphetamine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7519" w:type="dxa"/>
          </w:tcPr>
          <w:p w:rsidR="00DD2FE3" w:rsidRPr="00912879" w:rsidRDefault="00DD2FE3" w:rsidP="001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Motivational Interviewing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MSE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Mental State Examination 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NIDS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National Illicit Drug Strategy 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NSP</w:t>
            </w:r>
          </w:p>
        </w:tc>
        <w:tc>
          <w:tcPr>
            <w:tcW w:w="7519" w:type="dxa"/>
          </w:tcPr>
          <w:p w:rsidR="00DD2FE3" w:rsidRPr="00912879" w:rsidRDefault="00DD2FE3" w:rsidP="0029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Needle Syringe Programs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SHARC</w:t>
            </w:r>
          </w:p>
        </w:tc>
        <w:tc>
          <w:tcPr>
            <w:tcW w:w="7519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Self Help Addiction Resource Centre</w:t>
            </w:r>
          </w:p>
        </w:tc>
      </w:tr>
      <w:tr w:rsidR="00DD2FE3" w:rsidRPr="00912879" w:rsidTr="00DD2FE3">
        <w:tc>
          <w:tcPr>
            <w:tcW w:w="1723" w:type="dxa"/>
          </w:tcPr>
          <w:p w:rsidR="00DD2FE3" w:rsidRPr="00912879" w:rsidRDefault="00DD2FE3" w:rsidP="00D5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>YSAS</w:t>
            </w:r>
          </w:p>
        </w:tc>
        <w:tc>
          <w:tcPr>
            <w:tcW w:w="7519" w:type="dxa"/>
          </w:tcPr>
          <w:p w:rsidR="00DD2FE3" w:rsidRPr="00912879" w:rsidRDefault="00DD2FE3" w:rsidP="0077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79">
              <w:rPr>
                <w:rFonts w:ascii="Times New Roman" w:hAnsi="Times New Roman" w:cs="Times New Roman"/>
                <w:sz w:val="24"/>
                <w:szCs w:val="24"/>
              </w:rPr>
              <w:t xml:space="preserve">Youth Substance Abuse Service </w:t>
            </w:r>
          </w:p>
        </w:tc>
      </w:tr>
    </w:tbl>
    <w:p w:rsidR="00B774D9" w:rsidRPr="003A6CA4" w:rsidRDefault="00B774D9">
      <w:pPr>
        <w:rPr>
          <w:rFonts w:ascii="Times New Roman" w:hAnsi="Times New Roman" w:cs="Times New Roman"/>
        </w:rPr>
      </w:pPr>
    </w:p>
    <w:sectPr w:rsidR="00B774D9" w:rsidRPr="003A6CA4" w:rsidSect="00B56DA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altName w:val="Heavy Heap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314"/>
    <w:multiLevelType w:val="hybridMultilevel"/>
    <w:tmpl w:val="AB185A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37F"/>
    <w:multiLevelType w:val="hybridMultilevel"/>
    <w:tmpl w:val="59848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65BB"/>
    <w:rsid w:val="000171ED"/>
    <w:rsid w:val="00022C68"/>
    <w:rsid w:val="00064D9E"/>
    <w:rsid w:val="00072366"/>
    <w:rsid w:val="0007458F"/>
    <w:rsid w:val="00192F50"/>
    <w:rsid w:val="00197BE5"/>
    <w:rsid w:val="001B7F67"/>
    <w:rsid w:val="001D573A"/>
    <w:rsid w:val="001E2C93"/>
    <w:rsid w:val="00235507"/>
    <w:rsid w:val="00296684"/>
    <w:rsid w:val="002A77D9"/>
    <w:rsid w:val="002D5551"/>
    <w:rsid w:val="002F43C3"/>
    <w:rsid w:val="003A225F"/>
    <w:rsid w:val="003A6CA4"/>
    <w:rsid w:val="003D33A9"/>
    <w:rsid w:val="003E4054"/>
    <w:rsid w:val="004005BC"/>
    <w:rsid w:val="004125E9"/>
    <w:rsid w:val="004D6435"/>
    <w:rsid w:val="004E65BB"/>
    <w:rsid w:val="00536494"/>
    <w:rsid w:val="00542DDD"/>
    <w:rsid w:val="005501C6"/>
    <w:rsid w:val="00573445"/>
    <w:rsid w:val="005830F7"/>
    <w:rsid w:val="005B2D1D"/>
    <w:rsid w:val="005F4AB0"/>
    <w:rsid w:val="00633AF9"/>
    <w:rsid w:val="00636889"/>
    <w:rsid w:val="00683127"/>
    <w:rsid w:val="0070015C"/>
    <w:rsid w:val="00732664"/>
    <w:rsid w:val="007438EA"/>
    <w:rsid w:val="00744CEA"/>
    <w:rsid w:val="0074671D"/>
    <w:rsid w:val="00770BD3"/>
    <w:rsid w:val="007C56E4"/>
    <w:rsid w:val="007C76CB"/>
    <w:rsid w:val="00850C61"/>
    <w:rsid w:val="00854D33"/>
    <w:rsid w:val="00864C06"/>
    <w:rsid w:val="00912879"/>
    <w:rsid w:val="00931D20"/>
    <w:rsid w:val="00941EE9"/>
    <w:rsid w:val="00945049"/>
    <w:rsid w:val="00954E9E"/>
    <w:rsid w:val="00AC5D36"/>
    <w:rsid w:val="00B56DA6"/>
    <w:rsid w:val="00B650F7"/>
    <w:rsid w:val="00B774D9"/>
    <w:rsid w:val="00B77875"/>
    <w:rsid w:val="00BB06BC"/>
    <w:rsid w:val="00BD0073"/>
    <w:rsid w:val="00C10179"/>
    <w:rsid w:val="00C31034"/>
    <w:rsid w:val="00C31FA0"/>
    <w:rsid w:val="00CD28CE"/>
    <w:rsid w:val="00CE3389"/>
    <w:rsid w:val="00D4282F"/>
    <w:rsid w:val="00D529BE"/>
    <w:rsid w:val="00DD2FE3"/>
    <w:rsid w:val="00E0211C"/>
    <w:rsid w:val="00EB77C4"/>
    <w:rsid w:val="00EF661A"/>
    <w:rsid w:val="00F031E7"/>
    <w:rsid w:val="00F66C2A"/>
    <w:rsid w:val="00F73C04"/>
    <w:rsid w:val="00F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64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6435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D6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D6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D6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64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6435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D6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D6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D6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19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2014-08-01T00:00:00</PublishDate>
  <Abstract>Aalia Mohamed Irfan Khan Student, Occupational Therapy La Trobe University.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and Acronyms</vt:lpstr>
    </vt:vector>
  </TitlesOfParts>
  <Company>Aalia Mohamed Irfan Khan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and Acronyms</dc:title>
  <dc:subject>Neami National Project</dc:subject>
  <dc:creator>Student, Master of Occupational Therapy La Trobe University</dc:creator>
  <cp:lastModifiedBy>morelandk</cp:lastModifiedBy>
  <cp:revision>2</cp:revision>
  <cp:lastPrinted>2014-11-07T01:51:00Z</cp:lastPrinted>
  <dcterms:created xsi:type="dcterms:W3CDTF">2017-05-16T01:43:00Z</dcterms:created>
  <dcterms:modified xsi:type="dcterms:W3CDTF">2017-05-16T01:43:00Z</dcterms:modified>
</cp:coreProperties>
</file>