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4B30D2" w:rsidP="00AD784C">
      <w:pPr>
        <w:pStyle w:val="Spacerparatopoffirstpage"/>
      </w:pPr>
      <w:r>
        <w:rPr>
          <w:lang w:eastAsia="en-AU"/>
        </w:rPr>
        <w:drawing>
          <wp:anchor distT="0" distB="0" distL="114300" distR="114300" simplePos="0" relativeHeight="251657728" behindDoc="1" locked="0" layoutInCell="1" allowOverlap="1">
            <wp:simplePos x="0" y="0"/>
            <wp:positionH relativeFrom="column">
              <wp:posOffset>-553720</wp:posOffset>
            </wp:positionH>
            <wp:positionV relativeFrom="paragraph">
              <wp:posOffset>-356870</wp:posOffset>
            </wp:positionV>
            <wp:extent cx="7605395" cy="2086610"/>
            <wp:effectExtent l="0" t="0" r="0" b="0"/>
            <wp:wrapNone/>
            <wp:docPr id="9" name="Picture 9" descr="Banner -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 - 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5395" cy="208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1E6DD5">
          <w:footerReference w:type="default" r:id="rId8"/>
          <w:pgSz w:w="11906" w:h="16838" w:code="9"/>
          <w:pgMar w:top="567" w:right="851" w:bottom="1418" w:left="851" w:header="510" w:footer="269" w:gutter="0"/>
          <w:cols w:space="708"/>
          <w:docGrid w:linePitch="360"/>
        </w:sectPr>
      </w:pPr>
    </w:p>
    <w:tbl>
      <w:tblPr>
        <w:tblW w:w="0" w:type="auto"/>
        <w:tblLook w:val="04A0" w:firstRow="1" w:lastRow="0" w:firstColumn="1" w:lastColumn="0" w:noHBand="0" w:noVBand="1"/>
      </w:tblPr>
      <w:tblGrid>
        <w:gridCol w:w="8046"/>
      </w:tblGrid>
      <w:tr w:rsidR="00462155" w:rsidTr="001C277E">
        <w:trPr>
          <w:trHeight w:val="1247"/>
        </w:trPr>
        <w:tc>
          <w:tcPr>
            <w:tcW w:w="8046" w:type="dxa"/>
            <w:shd w:val="clear" w:color="auto" w:fill="auto"/>
            <w:vAlign w:val="bottom"/>
          </w:tcPr>
          <w:p w:rsidR="00462155" w:rsidRPr="00161AA0" w:rsidRDefault="00462155" w:rsidP="00462155">
            <w:pPr>
              <w:pStyle w:val="DHHSmainheading"/>
            </w:pPr>
            <w:r>
              <w:lastRenderedPageBreak/>
              <w:t>P</w:t>
            </w:r>
            <w:r w:rsidRPr="0020050D">
              <w:t>roviding evidence to test NDIS eligibility</w:t>
            </w:r>
          </w:p>
        </w:tc>
      </w:tr>
      <w:tr w:rsidR="00462155" w:rsidTr="00357B4E">
        <w:trPr>
          <w:trHeight w:hRule="exact" w:val="1162"/>
        </w:trPr>
        <w:tc>
          <w:tcPr>
            <w:tcW w:w="8046" w:type="dxa"/>
            <w:shd w:val="clear" w:color="auto" w:fill="auto"/>
            <w:tcMar>
              <w:top w:w="170" w:type="dxa"/>
              <w:bottom w:w="510" w:type="dxa"/>
            </w:tcMar>
          </w:tcPr>
          <w:p w:rsidR="00462155" w:rsidRPr="00AD784C" w:rsidRDefault="00462155" w:rsidP="00462155">
            <w:pPr>
              <w:pStyle w:val="DHHSmainsubheading"/>
              <w:rPr>
                <w:szCs w:val="28"/>
              </w:rPr>
            </w:pPr>
            <w:r>
              <w:rPr>
                <w:szCs w:val="28"/>
              </w:rPr>
              <w:t>Tip sheet</w:t>
            </w:r>
          </w:p>
        </w:tc>
      </w:tr>
    </w:tbl>
    <w:p w:rsidR="00462155" w:rsidRPr="00B349B7" w:rsidRDefault="00462155" w:rsidP="00462155">
      <w:pPr>
        <w:pStyle w:val="DHHSbody"/>
        <w:rPr>
          <w:lang w:eastAsia="en-AU"/>
        </w:rPr>
      </w:pPr>
      <w:r w:rsidRPr="00B349B7">
        <w:rPr>
          <w:rStyle w:val="Heading4Char"/>
        </w:rPr>
        <w:t>Purpose:</w:t>
      </w:r>
      <w:r w:rsidRPr="00B349B7">
        <w:rPr>
          <w:lang w:eastAsia="en-AU"/>
        </w:rPr>
        <w:t xml:space="preserve"> to provide mental health clinicians with an overview of the NDIS access criteria and tips on how to prepare evidence to support a consumer </w:t>
      </w:r>
      <w:r>
        <w:rPr>
          <w:lang w:eastAsia="en-AU"/>
        </w:rPr>
        <w:t>testing their</w:t>
      </w:r>
      <w:r w:rsidRPr="00B349B7">
        <w:rPr>
          <w:lang w:eastAsia="en-AU"/>
        </w:rPr>
        <w:t xml:space="preserve"> NDIS eligibility</w:t>
      </w:r>
      <w:r>
        <w:rPr>
          <w:lang w:eastAsia="en-AU"/>
        </w:rPr>
        <w:t>.</w:t>
      </w:r>
    </w:p>
    <w:p w:rsidR="00462155" w:rsidRPr="0020050D" w:rsidRDefault="00462155" w:rsidP="00462155">
      <w:pPr>
        <w:pStyle w:val="DHHSbody"/>
        <w:rPr>
          <w:lang w:eastAsia="en-AU"/>
        </w:rPr>
      </w:pPr>
      <w:r>
        <w:rPr>
          <w:lang w:eastAsia="en-AU"/>
        </w:rPr>
        <w:t xml:space="preserve">To </w:t>
      </w:r>
      <w:r w:rsidRPr="0020050D">
        <w:rPr>
          <w:lang w:eastAsia="en-AU"/>
        </w:rPr>
        <w:t>access the NDIS a person must live in an area where the NDIS is available and:</w:t>
      </w:r>
    </w:p>
    <w:p w:rsidR="00462155" w:rsidRPr="0020050D" w:rsidRDefault="00462155" w:rsidP="00462155">
      <w:pPr>
        <w:pStyle w:val="DHHSbullet1"/>
        <w:numPr>
          <w:ilvl w:val="0"/>
          <w:numId w:val="23"/>
        </w:numPr>
        <w:rPr>
          <w:lang w:eastAsia="en-AU"/>
        </w:rPr>
      </w:pPr>
      <w:r w:rsidRPr="0020050D">
        <w:rPr>
          <w:lang w:eastAsia="en-AU"/>
        </w:rPr>
        <w:t xml:space="preserve">Be aged under 65 years when the access request is received by the NDIA (section 22); </w:t>
      </w:r>
    </w:p>
    <w:p w:rsidR="00462155" w:rsidRPr="0020050D" w:rsidRDefault="00462155" w:rsidP="00462155">
      <w:pPr>
        <w:pStyle w:val="DHHSbullet1"/>
        <w:numPr>
          <w:ilvl w:val="0"/>
          <w:numId w:val="23"/>
        </w:numPr>
        <w:rPr>
          <w:lang w:eastAsia="en-AU"/>
        </w:rPr>
      </w:pPr>
      <w:r w:rsidRPr="0020050D">
        <w:rPr>
          <w:lang w:eastAsia="en-AU"/>
        </w:rPr>
        <w:t xml:space="preserve">be an Australian citizen, or a permanent resident, or hold a protected special category visa (section 23) </w:t>
      </w:r>
    </w:p>
    <w:p w:rsidR="00462155" w:rsidRPr="0020050D" w:rsidRDefault="00462155" w:rsidP="00462155">
      <w:pPr>
        <w:pStyle w:val="DHHSbullet1"/>
        <w:numPr>
          <w:ilvl w:val="0"/>
          <w:numId w:val="23"/>
        </w:numPr>
        <w:rPr>
          <w:b/>
          <w:bCs/>
          <w:lang w:val="en" w:eastAsia="en-AU"/>
        </w:rPr>
      </w:pPr>
      <w:r w:rsidRPr="0020050D">
        <w:rPr>
          <w:lang w:eastAsia="en-AU"/>
        </w:rPr>
        <w:t>meet all the disability requirements (section 24) i.e.</w:t>
      </w:r>
    </w:p>
    <w:p w:rsidR="00462155" w:rsidRPr="00410281" w:rsidRDefault="00462155" w:rsidP="00462155">
      <w:pPr>
        <w:pStyle w:val="DHHSbullet1"/>
        <w:ind w:left="568"/>
        <w:rPr>
          <w:b/>
          <w:lang w:val="en" w:eastAsia="en-AU"/>
        </w:rPr>
      </w:pPr>
      <w:r w:rsidRPr="00410281">
        <w:rPr>
          <w:b/>
          <w:lang w:val="en" w:eastAsia="en-AU"/>
        </w:rPr>
        <w:t>Likely permanent psychosocial disability</w:t>
      </w:r>
    </w:p>
    <w:p w:rsidR="00462155" w:rsidRPr="0020050D" w:rsidRDefault="00494354" w:rsidP="00462155">
      <w:pPr>
        <w:pStyle w:val="DHHSbullet2"/>
        <w:ind w:left="851"/>
        <w:rPr>
          <w:lang w:val="en" w:eastAsia="en-AU"/>
        </w:rPr>
      </w:pPr>
      <w:hyperlink r:id="rId9" w:history="1">
        <w:r w:rsidR="00462155" w:rsidRPr="0020050D">
          <w:rPr>
            <w:color w:val="0000FF"/>
            <w:u w:val="single"/>
            <w:lang w:val="en" w:eastAsia="en-AU"/>
          </w:rPr>
          <w:t>Criteria (a) psychosocial disability</w:t>
        </w:r>
      </w:hyperlink>
    </w:p>
    <w:p w:rsidR="00462155" w:rsidRPr="0020050D" w:rsidRDefault="00494354" w:rsidP="00462155">
      <w:pPr>
        <w:pStyle w:val="DHHSbullet2"/>
        <w:ind w:left="851"/>
        <w:rPr>
          <w:lang w:val="en" w:eastAsia="en-AU"/>
        </w:rPr>
      </w:pPr>
      <w:hyperlink r:id="rId10" w:history="1">
        <w:r w:rsidR="00462155" w:rsidRPr="0020050D">
          <w:rPr>
            <w:color w:val="0000FF"/>
            <w:u w:val="single"/>
            <w:lang w:val="en" w:eastAsia="en-AU"/>
          </w:rPr>
          <w:t>Criteria (b) likely permanence</w:t>
        </w:r>
      </w:hyperlink>
    </w:p>
    <w:p w:rsidR="00462155" w:rsidRPr="00410281" w:rsidRDefault="00462155" w:rsidP="00462155">
      <w:pPr>
        <w:pStyle w:val="DHHSbullet1"/>
        <w:ind w:left="568"/>
        <w:rPr>
          <w:b/>
          <w:lang w:val="en" w:eastAsia="en-AU"/>
        </w:rPr>
      </w:pPr>
      <w:r w:rsidRPr="00410281">
        <w:rPr>
          <w:b/>
          <w:lang w:val="en" w:eastAsia="en-AU"/>
        </w:rPr>
        <w:t>Substantially reduced functional capacity in at least one domain</w:t>
      </w:r>
    </w:p>
    <w:p w:rsidR="00462155" w:rsidRPr="0020050D" w:rsidRDefault="00494354" w:rsidP="00462155">
      <w:pPr>
        <w:pStyle w:val="DHHSbullet2"/>
        <w:ind w:left="851"/>
        <w:rPr>
          <w:lang w:val="en" w:eastAsia="en-AU"/>
        </w:rPr>
      </w:pPr>
      <w:hyperlink r:id="rId11" w:history="1">
        <w:r w:rsidR="00462155" w:rsidRPr="0020050D">
          <w:rPr>
            <w:color w:val="0000FF"/>
            <w:u w:val="single"/>
            <w:lang w:val="en" w:eastAsia="en-AU"/>
          </w:rPr>
          <w:t>Criteria (c) Functional</w:t>
        </w:r>
      </w:hyperlink>
      <w:r w:rsidR="00462155" w:rsidRPr="0020050D">
        <w:rPr>
          <w:lang w:val="en" w:eastAsia="en-AU"/>
        </w:rPr>
        <w:t xml:space="preserve"> capacity</w:t>
      </w:r>
    </w:p>
    <w:p w:rsidR="00462155" w:rsidRPr="00410281" w:rsidRDefault="00462155" w:rsidP="00462155">
      <w:pPr>
        <w:pStyle w:val="DHHSbullet1"/>
        <w:ind w:left="568"/>
        <w:rPr>
          <w:b/>
          <w:lang w:eastAsia="en-AU"/>
        </w:rPr>
      </w:pPr>
      <w:r w:rsidRPr="00410281">
        <w:rPr>
          <w:b/>
          <w:lang w:val="en" w:eastAsia="en-AU"/>
        </w:rPr>
        <w:t xml:space="preserve">Social </w:t>
      </w:r>
      <w:r w:rsidRPr="00410281">
        <w:rPr>
          <w:b/>
          <w:lang w:val="en-US" w:eastAsia="en-AU"/>
        </w:rPr>
        <w:t>and economic impact of the disability requires NDIS support</w:t>
      </w:r>
    </w:p>
    <w:p w:rsidR="00462155" w:rsidRPr="0020050D" w:rsidRDefault="00494354" w:rsidP="00462155">
      <w:pPr>
        <w:pStyle w:val="DHHSbullet2"/>
        <w:ind w:left="851"/>
        <w:rPr>
          <w:lang w:val="en" w:eastAsia="en-AU"/>
        </w:rPr>
      </w:pPr>
      <w:hyperlink r:id="rId12" w:history="1">
        <w:r w:rsidR="00462155" w:rsidRPr="0020050D">
          <w:rPr>
            <w:color w:val="0000FF"/>
            <w:u w:val="single"/>
            <w:lang w:val="en" w:eastAsia="en-AU"/>
          </w:rPr>
          <w:t>Criteria (d) &amp; (e) Social and economic impact, requires NDIS support</w:t>
        </w:r>
      </w:hyperlink>
    </w:p>
    <w:p w:rsidR="00462155" w:rsidRPr="009A2ED7" w:rsidRDefault="00462155" w:rsidP="00462155">
      <w:pPr>
        <w:pStyle w:val="DHHSbody"/>
        <w:rPr>
          <w:lang w:val="en" w:eastAsia="en-AU"/>
        </w:rPr>
      </w:pPr>
      <w:r w:rsidRPr="0020050D">
        <w:rPr>
          <w:lang w:val="en" w:eastAsia="en-AU"/>
        </w:rPr>
        <w:t>Not everyone who is living with a severe and persistent mental health illness will be able to access the NDIS. Decisions about who can and cannot access the NDIS are made by access assessors in the NDIA using evidence provided in the application. The assessors sit with the evidence and the legislation in front of them and tick which requirements the person meets. The criteria are arranged in a hierarchal order and once the answer is NO to any of the criteria, the potential partici</w:t>
      </w:r>
      <w:r>
        <w:rPr>
          <w:lang w:val="en" w:eastAsia="en-AU"/>
        </w:rPr>
        <w:t>pant will be deemed ineligible.</w:t>
      </w:r>
    </w:p>
    <w:p w:rsidR="00462155" w:rsidRPr="0020050D" w:rsidRDefault="00462155" w:rsidP="00462155">
      <w:pPr>
        <w:pStyle w:val="DHHSbody"/>
        <w:rPr>
          <w:lang w:val="en-US" w:eastAsia="en-AU"/>
        </w:rPr>
      </w:pPr>
      <w:r w:rsidRPr="0020050D">
        <w:rPr>
          <w:lang w:val="en-US" w:eastAsia="en-AU"/>
        </w:rPr>
        <w:t xml:space="preserve">If the </w:t>
      </w:r>
      <w:r>
        <w:rPr>
          <w:lang w:val="en-US" w:eastAsia="en-AU"/>
        </w:rPr>
        <w:t>assessor is not satisfied that the evidence confirms a disability,</w:t>
      </w:r>
      <w:r w:rsidRPr="0020050D">
        <w:rPr>
          <w:lang w:val="en-US" w:eastAsia="en-AU"/>
        </w:rPr>
        <w:t xml:space="preserve"> they</w:t>
      </w:r>
      <w:r w:rsidRPr="0020050D">
        <w:rPr>
          <w:b/>
          <w:lang w:val="en-US" w:eastAsia="en-AU"/>
        </w:rPr>
        <w:t xml:space="preserve"> </w:t>
      </w:r>
      <w:r w:rsidRPr="0020050D">
        <w:rPr>
          <w:lang w:val="en-US" w:eastAsia="en-AU"/>
        </w:rPr>
        <w:t xml:space="preserve">will ask for more information. To avoid delays in access decisions NDIS recommends providing ‘excellent evidence’ of disability </w:t>
      </w:r>
      <w:bookmarkStart w:id="0" w:name="_What_is_excellence"/>
      <w:bookmarkEnd w:id="0"/>
      <w:r w:rsidRPr="0020050D">
        <w:rPr>
          <w:lang w:val="en-US" w:eastAsia="en-AU"/>
        </w:rPr>
        <w:t>that is:</w:t>
      </w:r>
    </w:p>
    <w:p w:rsidR="00462155" w:rsidRPr="00152747" w:rsidRDefault="00462155" w:rsidP="00462155">
      <w:pPr>
        <w:pStyle w:val="DHHSbullet1"/>
        <w:ind w:left="568"/>
        <w:rPr>
          <w:lang w:val="en-US" w:eastAsia="en-AU"/>
        </w:rPr>
      </w:pPr>
      <w:r w:rsidRPr="00152747">
        <w:rPr>
          <w:lang w:val="en-US" w:eastAsia="en-AU"/>
        </w:rPr>
        <w:t>Recent (&lt; 6 months old) and reliable (consumer known to service/clinician &gt;</w:t>
      </w:r>
      <w:r>
        <w:rPr>
          <w:lang w:val="en-US" w:eastAsia="en-AU"/>
        </w:rPr>
        <w:t xml:space="preserve"> 2 years)</w:t>
      </w:r>
    </w:p>
    <w:p w:rsidR="00462155" w:rsidRPr="0020050D" w:rsidRDefault="00462155" w:rsidP="00462155">
      <w:pPr>
        <w:pStyle w:val="DHHSbullet1"/>
        <w:ind w:left="568"/>
        <w:rPr>
          <w:lang w:val="en-US" w:eastAsia="en-AU"/>
        </w:rPr>
      </w:pPr>
      <w:r w:rsidRPr="0020050D">
        <w:rPr>
          <w:lang w:val="en-US" w:eastAsia="en-AU"/>
        </w:rPr>
        <w:t>Completed by a treating professional relevant to the primary disability</w:t>
      </w:r>
    </w:p>
    <w:p w:rsidR="00462155" w:rsidRPr="0020050D" w:rsidRDefault="00462155" w:rsidP="00462155">
      <w:pPr>
        <w:pStyle w:val="DHHSbullet1"/>
        <w:ind w:left="568"/>
        <w:rPr>
          <w:lang w:val="en-US" w:eastAsia="en-AU"/>
        </w:rPr>
      </w:pPr>
      <w:r w:rsidRPr="0020050D">
        <w:rPr>
          <w:lang w:val="en-US" w:eastAsia="en-AU"/>
        </w:rPr>
        <w:t>Confirms diagnosis of a primary disability</w:t>
      </w:r>
    </w:p>
    <w:p w:rsidR="00462155" w:rsidRPr="0020050D" w:rsidRDefault="00462155" w:rsidP="00462155">
      <w:pPr>
        <w:pStyle w:val="DHHSbullet1"/>
        <w:ind w:left="568"/>
        <w:rPr>
          <w:lang w:val="en-US" w:eastAsia="en-AU"/>
        </w:rPr>
      </w:pPr>
      <w:r w:rsidRPr="0020050D">
        <w:rPr>
          <w:lang w:val="en-US" w:eastAsia="en-AU"/>
        </w:rPr>
        <w:t>Confirms functional impacts (related to the disability) across different life domains</w:t>
      </w:r>
    </w:p>
    <w:p w:rsidR="00462155" w:rsidRPr="0020050D" w:rsidRDefault="00462155" w:rsidP="00462155">
      <w:pPr>
        <w:pStyle w:val="DHHSbullet1"/>
        <w:ind w:left="568"/>
        <w:rPr>
          <w:lang w:val="en-US" w:eastAsia="en-AU"/>
        </w:rPr>
      </w:pPr>
      <w:r w:rsidRPr="0020050D">
        <w:rPr>
          <w:lang w:val="en-US" w:eastAsia="en-AU"/>
        </w:rPr>
        <w:t>Describes previous treatments and functional outcomes</w:t>
      </w:r>
    </w:p>
    <w:p w:rsidR="00462155" w:rsidRPr="00493556" w:rsidRDefault="00462155" w:rsidP="00462155">
      <w:pPr>
        <w:pStyle w:val="DHHSbullet1"/>
        <w:ind w:left="568"/>
        <w:rPr>
          <w:lang w:val="en-US" w:eastAsia="en-AU"/>
        </w:rPr>
      </w:pPr>
      <w:r w:rsidRPr="0020050D">
        <w:rPr>
          <w:lang w:val="en-US" w:eastAsia="en-AU"/>
        </w:rPr>
        <w:t>Describes future treatment options and expected functional outcomes</w:t>
      </w:r>
    </w:p>
    <w:p w:rsidR="00462155" w:rsidRPr="0020050D" w:rsidRDefault="00462155" w:rsidP="00462155">
      <w:pPr>
        <w:pStyle w:val="DHHSbody"/>
        <w:spacing w:before="240" w:after="40"/>
        <w:rPr>
          <w:lang w:val="en" w:eastAsia="en-AU"/>
        </w:rPr>
      </w:pPr>
      <w:r w:rsidRPr="0020050D">
        <w:rPr>
          <w:lang w:val="en" w:eastAsia="en-AU"/>
        </w:rPr>
        <w:t xml:space="preserve">Evidence of </w:t>
      </w:r>
      <w:r w:rsidRPr="0020050D">
        <w:rPr>
          <w:b/>
          <w:lang w:val="en" w:eastAsia="en-AU"/>
        </w:rPr>
        <w:t>age and residency</w:t>
      </w:r>
      <w:r w:rsidRPr="0020050D">
        <w:rPr>
          <w:lang w:val="en" w:eastAsia="en-AU"/>
        </w:rPr>
        <w:t xml:space="preserve"> can be provided by the consumer consent</w:t>
      </w:r>
      <w:r w:rsidR="00494354">
        <w:rPr>
          <w:lang w:val="en" w:eastAsia="en-AU"/>
        </w:rPr>
        <w:t>ing</w:t>
      </w:r>
      <w:r w:rsidRPr="0020050D">
        <w:rPr>
          <w:lang w:val="en" w:eastAsia="en-AU"/>
        </w:rPr>
        <w:t xml:space="preserve"> to share their </w:t>
      </w:r>
      <w:proofErr w:type="spellStart"/>
      <w:r w:rsidRPr="0020050D">
        <w:rPr>
          <w:lang w:val="en" w:eastAsia="en-AU"/>
        </w:rPr>
        <w:t>Centrelink</w:t>
      </w:r>
      <w:proofErr w:type="spellEnd"/>
      <w:r w:rsidRPr="0020050D">
        <w:rPr>
          <w:lang w:val="en" w:eastAsia="en-AU"/>
        </w:rPr>
        <w:t xml:space="preserve"> CRN with the NDIA.</w:t>
      </w:r>
    </w:p>
    <w:p w:rsidR="00462155" w:rsidRPr="0020050D" w:rsidRDefault="00462155" w:rsidP="00462155">
      <w:pPr>
        <w:pStyle w:val="DHHSbody"/>
        <w:rPr>
          <w:lang w:val="en" w:eastAsia="en-AU"/>
        </w:rPr>
      </w:pPr>
      <w:r w:rsidRPr="0020050D">
        <w:rPr>
          <w:lang w:val="en" w:eastAsia="en-AU"/>
        </w:rPr>
        <w:t xml:space="preserve">Evidence of a likely </w:t>
      </w:r>
      <w:r w:rsidRPr="0020050D">
        <w:rPr>
          <w:b/>
          <w:bCs/>
          <w:lang w:val="en" w:eastAsia="en-AU"/>
        </w:rPr>
        <w:t>permanent psychosocial disability</w:t>
      </w:r>
      <w:r w:rsidRPr="0020050D">
        <w:rPr>
          <w:lang w:val="en" w:eastAsia="en-AU"/>
        </w:rPr>
        <w:t xml:space="preserve"> needs to be provided by the treating clinician (i.e. psychiatrist or GP).</w:t>
      </w:r>
    </w:p>
    <w:p w:rsidR="00462155" w:rsidRPr="0020050D" w:rsidRDefault="00462155" w:rsidP="00462155">
      <w:pPr>
        <w:pStyle w:val="DHHSbody"/>
        <w:rPr>
          <w:lang w:val="en" w:eastAsia="en-AU"/>
        </w:rPr>
      </w:pPr>
      <w:r w:rsidRPr="0020050D">
        <w:rPr>
          <w:lang w:val="en" w:eastAsia="en-AU"/>
        </w:rPr>
        <w:t>The psychiatrist/GP’s report needs to include:</w:t>
      </w:r>
    </w:p>
    <w:p w:rsidR="00462155" w:rsidRPr="00493556" w:rsidRDefault="00462155" w:rsidP="00462155">
      <w:pPr>
        <w:pStyle w:val="DHHSbullet1"/>
        <w:ind w:left="568"/>
      </w:pPr>
      <w:r w:rsidRPr="00493556">
        <w:t>Past, current and proposed ongoing treatment (including date of diagnosis &amp; hospital admissions)</w:t>
      </w:r>
    </w:p>
    <w:p w:rsidR="00462155" w:rsidRPr="00493556" w:rsidRDefault="00462155" w:rsidP="00462155">
      <w:pPr>
        <w:pStyle w:val="DHHSbullet1"/>
        <w:ind w:left="568"/>
      </w:pPr>
      <w:r w:rsidRPr="00493556">
        <w:t xml:space="preserve">Evidence that all appropriate and available treatment/intervention options have been explored and why the impairment will remain even when treatment continues </w:t>
      </w:r>
    </w:p>
    <w:p w:rsidR="00462155" w:rsidRPr="00493556" w:rsidRDefault="00462155" w:rsidP="00462155">
      <w:pPr>
        <w:pStyle w:val="DHHSbullet1"/>
        <w:ind w:left="568"/>
      </w:pPr>
      <w:r w:rsidRPr="00493556">
        <w:t>Statement of a clinical rationale for why commonly known treatment for the condition has not been explored and that the impairment is likely to remain regardless of ongoing treatment/interventions.</w:t>
      </w:r>
    </w:p>
    <w:p w:rsidR="00462155" w:rsidRPr="0020050D" w:rsidRDefault="00462155" w:rsidP="00462155">
      <w:pPr>
        <w:pStyle w:val="DHHSbody"/>
        <w:rPr>
          <w:lang w:val="en" w:eastAsia="en-AU"/>
        </w:rPr>
      </w:pPr>
      <w:r w:rsidRPr="0020050D">
        <w:rPr>
          <w:lang w:val="en" w:eastAsia="en-AU"/>
        </w:rPr>
        <w:lastRenderedPageBreak/>
        <w:t xml:space="preserve">Evidence of </w:t>
      </w:r>
      <w:r w:rsidRPr="009A2ED7">
        <w:rPr>
          <w:b/>
          <w:lang w:val="en" w:eastAsia="en-AU"/>
        </w:rPr>
        <w:t>substantially reduced functional capacity</w:t>
      </w:r>
      <w:r w:rsidRPr="0020050D">
        <w:rPr>
          <w:lang w:val="en" w:eastAsia="en-AU"/>
        </w:rPr>
        <w:t xml:space="preserve"> </w:t>
      </w:r>
      <w:r>
        <w:rPr>
          <w:lang w:val="en" w:eastAsia="en-AU"/>
        </w:rPr>
        <w:t>and</w:t>
      </w:r>
      <w:r w:rsidRPr="0020050D">
        <w:rPr>
          <w:lang w:val="en" w:eastAsia="en-AU"/>
        </w:rPr>
        <w:t xml:space="preserve"> impact of disability requiring NDIS support can be provided by the mental health clinician.</w:t>
      </w:r>
    </w:p>
    <w:p w:rsidR="00462155" w:rsidRPr="0020050D" w:rsidRDefault="00462155" w:rsidP="00462155">
      <w:pPr>
        <w:pStyle w:val="DHHSbody"/>
        <w:rPr>
          <w:lang w:val="en" w:eastAsia="en-AU"/>
        </w:rPr>
      </w:pPr>
      <w:r w:rsidRPr="0020050D">
        <w:rPr>
          <w:lang w:val="en" w:eastAsia="en-AU"/>
        </w:rPr>
        <w:t>The mental health clinician’s evidence needs to focus on the functional impact of the mental illness and should include</w:t>
      </w:r>
    </w:p>
    <w:p w:rsidR="00462155" w:rsidRPr="0020050D" w:rsidRDefault="00462155" w:rsidP="00462155">
      <w:pPr>
        <w:pStyle w:val="DHHSbullet1"/>
        <w:ind w:left="568"/>
        <w:rPr>
          <w:rFonts w:eastAsia="Calibri"/>
          <w:lang w:val="en"/>
        </w:rPr>
      </w:pPr>
      <w:r w:rsidRPr="0020050D">
        <w:rPr>
          <w:lang w:val="en" w:eastAsia="en-AU"/>
        </w:rPr>
        <w:t>a report identifying substantially reduced capacity in at least one of the six domains of daily living (Part F of Access Request Form or the Supporting Evidence Form</w:t>
      </w:r>
      <w:r w:rsidR="00494354">
        <w:rPr>
          <w:lang w:val="en" w:eastAsia="en-AU"/>
        </w:rPr>
        <w:t xml:space="preserve"> – addressed by</w:t>
      </w:r>
      <w:bookmarkStart w:id="1" w:name="_GoBack"/>
      <w:bookmarkEnd w:id="1"/>
      <w:r w:rsidR="00494354">
        <w:rPr>
          <w:lang w:val="en" w:eastAsia="en-AU"/>
        </w:rPr>
        <w:t xml:space="preserve"> the </w:t>
      </w:r>
      <w:r w:rsidR="00494354" w:rsidRPr="00494354">
        <w:rPr>
          <w:i/>
          <w:lang w:val="en" w:eastAsia="en-AU"/>
        </w:rPr>
        <w:t>ARF Clinician Report</w:t>
      </w:r>
      <w:r w:rsidR="00494354">
        <w:rPr>
          <w:lang w:val="en" w:eastAsia="en-AU"/>
        </w:rPr>
        <w:t xml:space="preserve"> template</w:t>
      </w:r>
      <w:r w:rsidRPr="0020050D">
        <w:rPr>
          <w:lang w:val="en" w:eastAsia="en-AU"/>
        </w:rPr>
        <w:t xml:space="preserve">). </w:t>
      </w:r>
    </w:p>
    <w:p w:rsidR="00462155" w:rsidRPr="0020050D" w:rsidRDefault="00462155" w:rsidP="00462155">
      <w:pPr>
        <w:pStyle w:val="DHHSbullet1"/>
        <w:numPr>
          <w:ilvl w:val="0"/>
          <w:numId w:val="24"/>
        </w:numPr>
        <w:rPr>
          <w:rFonts w:eastAsia="Calibri"/>
          <w:lang w:val="en"/>
        </w:rPr>
      </w:pPr>
      <w:r w:rsidRPr="0020050D">
        <w:rPr>
          <w:rFonts w:eastAsia="Calibri"/>
          <w:b/>
          <w:bCs/>
          <w:lang w:val="en"/>
        </w:rPr>
        <w:t>Mobility</w:t>
      </w:r>
      <w:r w:rsidRPr="0020050D">
        <w:rPr>
          <w:rFonts w:eastAsia="Calibri"/>
          <w:lang w:val="en"/>
        </w:rPr>
        <w:t>: ability to undertake activities of daily living requiring the use of limbs.</w:t>
      </w:r>
    </w:p>
    <w:p w:rsidR="00462155" w:rsidRPr="0020050D" w:rsidRDefault="00462155" w:rsidP="00462155">
      <w:pPr>
        <w:pStyle w:val="DHHSbullet1"/>
        <w:numPr>
          <w:ilvl w:val="0"/>
          <w:numId w:val="24"/>
        </w:numPr>
        <w:rPr>
          <w:rFonts w:eastAsia="Calibri"/>
          <w:lang w:val="en"/>
        </w:rPr>
      </w:pPr>
      <w:r w:rsidRPr="0020050D">
        <w:rPr>
          <w:rFonts w:eastAsia="Calibri"/>
          <w:b/>
          <w:bCs/>
          <w:lang w:val="en"/>
        </w:rPr>
        <w:t>Communication:</w:t>
      </w:r>
      <w:r w:rsidRPr="0020050D">
        <w:rPr>
          <w:rFonts w:eastAsia="Calibri"/>
          <w:lang w:val="en"/>
        </w:rPr>
        <w:t>  being understood, understanding others and expressing needs.</w:t>
      </w:r>
    </w:p>
    <w:p w:rsidR="00462155" w:rsidRPr="0020050D" w:rsidRDefault="00462155" w:rsidP="00462155">
      <w:pPr>
        <w:pStyle w:val="DHHSbullet1"/>
        <w:numPr>
          <w:ilvl w:val="0"/>
          <w:numId w:val="24"/>
        </w:numPr>
        <w:rPr>
          <w:rFonts w:eastAsia="Calibri"/>
          <w:lang w:val="en"/>
        </w:rPr>
      </w:pPr>
      <w:r w:rsidRPr="0020050D">
        <w:rPr>
          <w:rFonts w:eastAsia="Calibri"/>
          <w:b/>
          <w:bCs/>
          <w:lang w:val="en"/>
        </w:rPr>
        <w:t>Social interaction:</w:t>
      </w:r>
      <w:r w:rsidRPr="0020050D">
        <w:rPr>
          <w:rFonts w:eastAsia="Calibri"/>
          <w:lang w:val="en"/>
        </w:rPr>
        <w:t> making and keeping friends, interacting with the community.</w:t>
      </w:r>
    </w:p>
    <w:p w:rsidR="00462155" w:rsidRPr="0020050D" w:rsidRDefault="00462155" w:rsidP="00462155">
      <w:pPr>
        <w:pStyle w:val="DHHSbullet1"/>
        <w:numPr>
          <w:ilvl w:val="0"/>
          <w:numId w:val="24"/>
        </w:numPr>
        <w:rPr>
          <w:rFonts w:eastAsia="Calibri"/>
          <w:lang w:val="en"/>
        </w:rPr>
      </w:pPr>
      <w:r w:rsidRPr="0020050D">
        <w:rPr>
          <w:rFonts w:eastAsia="Calibri"/>
          <w:b/>
          <w:bCs/>
          <w:lang w:val="en"/>
        </w:rPr>
        <w:t>Self-management:</w:t>
      </w:r>
      <w:r w:rsidRPr="0020050D">
        <w:rPr>
          <w:rFonts w:eastAsia="Calibri"/>
          <w:lang w:val="en"/>
        </w:rPr>
        <w:t xml:space="preserve"> the cognitive capacity to </w:t>
      </w:r>
      <w:proofErr w:type="spellStart"/>
      <w:r w:rsidRPr="0020050D">
        <w:rPr>
          <w:rFonts w:eastAsia="Calibri"/>
          <w:lang w:val="en"/>
        </w:rPr>
        <w:t>organise</w:t>
      </w:r>
      <w:proofErr w:type="spellEnd"/>
      <w:r w:rsidRPr="0020050D">
        <w:rPr>
          <w:rFonts w:eastAsia="Calibri"/>
          <w:lang w:val="en"/>
        </w:rPr>
        <w:t xml:space="preserve"> one's life, to plan and make decisions, including problem solving, and managing finances. </w:t>
      </w:r>
    </w:p>
    <w:p w:rsidR="00462155" w:rsidRPr="0020050D" w:rsidRDefault="00462155" w:rsidP="00462155">
      <w:pPr>
        <w:pStyle w:val="DHHSbullet1"/>
        <w:numPr>
          <w:ilvl w:val="0"/>
          <w:numId w:val="24"/>
        </w:numPr>
        <w:rPr>
          <w:rFonts w:eastAsia="Calibri"/>
          <w:lang w:val="en"/>
        </w:rPr>
      </w:pPr>
      <w:r w:rsidRPr="0020050D">
        <w:rPr>
          <w:rFonts w:eastAsia="Calibri"/>
          <w:b/>
          <w:bCs/>
          <w:lang w:val="en"/>
        </w:rPr>
        <w:t>Self-care:</w:t>
      </w:r>
      <w:r w:rsidRPr="0020050D">
        <w:rPr>
          <w:rFonts w:eastAsia="Calibri"/>
          <w:lang w:val="en"/>
        </w:rPr>
        <w:t xml:space="preserve"> personal care, feeding oneself, and to caring for own health needs.</w:t>
      </w:r>
      <w:r w:rsidRPr="0020050D">
        <w:rPr>
          <w:rFonts w:eastAsia="Calibri"/>
          <w:sz w:val="22"/>
          <w:szCs w:val="22"/>
        </w:rPr>
        <w:t xml:space="preserve"> </w:t>
      </w:r>
    </w:p>
    <w:p w:rsidR="00462155" w:rsidRPr="0020050D" w:rsidRDefault="00462155" w:rsidP="00462155">
      <w:pPr>
        <w:pStyle w:val="DHHSbullet1"/>
        <w:numPr>
          <w:ilvl w:val="0"/>
          <w:numId w:val="24"/>
        </w:numPr>
        <w:rPr>
          <w:rFonts w:eastAsia="Calibri"/>
          <w:lang w:val="en"/>
        </w:rPr>
      </w:pPr>
      <w:r w:rsidRPr="0020050D">
        <w:rPr>
          <w:rFonts w:eastAsia="Calibri"/>
          <w:b/>
          <w:bCs/>
          <w:lang w:val="en"/>
        </w:rPr>
        <w:t>Learning:</w:t>
      </w:r>
      <w:r w:rsidRPr="0020050D">
        <w:rPr>
          <w:rFonts w:eastAsia="Calibri"/>
          <w:lang w:val="en"/>
        </w:rPr>
        <w:t xml:space="preserve">  understanding and remembering information, learning new things </w:t>
      </w:r>
    </w:p>
    <w:p w:rsidR="00462155" w:rsidRPr="0020050D" w:rsidRDefault="00462155" w:rsidP="00462155">
      <w:pPr>
        <w:pStyle w:val="DHHSbullet1"/>
        <w:ind w:left="568"/>
        <w:rPr>
          <w:lang w:val="en" w:eastAsia="en-AU"/>
        </w:rPr>
      </w:pPr>
      <w:r w:rsidRPr="0020050D">
        <w:rPr>
          <w:lang w:val="en" w:eastAsia="en-AU"/>
        </w:rPr>
        <w:t xml:space="preserve">recent copies of HONOS, LSP 16, WHODAS (17 years and over) or PEDI-CAT (16 years and under) - </w:t>
      </w:r>
      <w:r w:rsidRPr="0020050D">
        <w:rPr>
          <w:i/>
          <w:lang w:val="en" w:eastAsia="en-AU"/>
        </w:rPr>
        <w:t xml:space="preserve">NDIA’s preferred </w:t>
      </w:r>
      <w:proofErr w:type="spellStart"/>
      <w:r w:rsidRPr="0020050D">
        <w:rPr>
          <w:i/>
          <w:lang w:val="en" w:eastAsia="en-AU"/>
        </w:rPr>
        <w:t>standardised</w:t>
      </w:r>
      <w:proofErr w:type="spellEnd"/>
      <w:r w:rsidRPr="0020050D">
        <w:rPr>
          <w:i/>
          <w:lang w:val="en" w:eastAsia="en-AU"/>
        </w:rPr>
        <w:t xml:space="preserve"> assessments</w:t>
      </w:r>
      <w:r w:rsidRPr="0020050D">
        <w:rPr>
          <w:lang w:val="en" w:eastAsia="en-AU"/>
        </w:rPr>
        <w:t>.</w:t>
      </w:r>
    </w:p>
    <w:p w:rsidR="00462155" w:rsidRPr="0020050D" w:rsidRDefault="00462155" w:rsidP="00462155">
      <w:pPr>
        <w:pStyle w:val="DHHSbullet1"/>
        <w:ind w:left="568"/>
        <w:rPr>
          <w:lang w:val="en" w:eastAsia="en-AU"/>
        </w:rPr>
      </w:pPr>
      <w:r w:rsidRPr="0020050D">
        <w:rPr>
          <w:lang w:val="en" w:eastAsia="en-AU"/>
        </w:rPr>
        <w:t xml:space="preserve">Other relevant reports (including Occupational Therapy, neuropsychiatry, Carer Allowance, or Disability Support Pension reports) </w:t>
      </w:r>
    </w:p>
    <w:p w:rsidR="00462155" w:rsidRPr="009A2ED7" w:rsidRDefault="00462155" w:rsidP="00462155">
      <w:pPr>
        <w:pStyle w:val="DHHSbullet1"/>
        <w:ind w:left="568"/>
        <w:rPr>
          <w:lang w:val="en" w:eastAsia="en-AU"/>
        </w:rPr>
      </w:pPr>
      <w:r w:rsidRPr="0020050D">
        <w:rPr>
          <w:lang w:val="en" w:eastAsia="en-AU"/>
        </w:rPr>
        <w:t>Financial Administration and Guardianship orders.</w:t>
      </w:r>
    </w:p>
    <w:p w:rsidR="00462155" w:rsidRPr="0020050D" w:rsidRDefault="00462155" w:rsidP="00462155">
      <w:pPr>
        <w:pStyle w:val="DHHSbullet1"/>
        <w:numPr>
          <w:ilvl w:val="0"/>
          <w:numId w:val="0"/>
        </w:numPr>
        <w:rPr>
          <w:lang w:val="en" w:eastAsia="en-AU"/>
        </w:rPr>
      </w:pPr>
      <w:r w:rsidRPr="00ED5658">
        <w:rPr>
          <w:lang w:val="en" w:eastAsia="en-AU"/>
        </w:rPr>
        <w:t>A substantial reduction in capacity is much more than experiencing difficulty with a task or taking longer than most people to complete a task; it is when someone is unable to effectively participate in or complete most tasks or activities in at least one of the domains.</w:t>
      </w:r>
    </w:p>
    <w:p w:rsidR="00462155" w:rsidRPr="0020050D" w:rsidRDefault="00462155" w:rsidP="00462155">
      <w:pPr>
        <w:pStyle w:val="DHHSbody"/>
        <w:rPr>
          <w:lang w:val="en" w:eastAsia="en-AU"/>
        </w:rPr>
      </w:pPr>
      <w:r w:rsidRPr="0020050D">
        <w:rPr>
          <w:lang w:val="en" w:eastAsia="en-AU"/>
        </w:rPr>
        <w:t xml:space="preserve">When providing evidence of </w:t>
      </w:r>
      <w:r w:rsidRPr="00ED5658">
        <w:rPr>
          <w:i/>
          <w:lang w:val="en" w:eastAsia="en-AU"/>
        </w:rPr>
        <w:t>substantially reduced</w:t>
      </w:r>
      <w:r w:rsidRPr="0020050D">
        <w:rPr>
          <w:lang w:val="en" w:eastAsia="en-AU"/>
        </w:rPr>
        <w:t xml:space="preserve"> capacity, think about capacity to participate in activities:</w:t>
      </w:r>
    </w:p>
    <w:p w:rsidR="00462155" w:rsidRPr="0020050D" w:rsidRDefault="00462155" w:rsidP="00462155">
      <w:pPr>
        <w:pStyle w:val="DHHSbody"/>
        <w:numPr>
          <w:ilvl w:val="0"/>
          <w:numId w:val="25"/>
        </w:numPr>
        <w:rPr>
          <w:rFonts w:eastAsia="Calibri"/>
          <w:lang w:val="en"/>
        </w:rPr>
      </w:pPr>
      <w:r w:rsidRPr="0020050D">
        <w:rPr>
          <w:b/>
          <w:bCs/>
          <w:lang w:val="en" w:eastAsia="en-AU"/>
        </w:rPr>
        <w:t xml:space="preserve">Without support: </w:t>
      </w:r>
      <w:r w:rsidRPr="0020050D">
        <w:rPr>
          <w:bCs/>
          <w:lang w:val="en" w:eastAsia="en-AU"/>
        </w:rPr>
        <w:t>e.g</w:t>
      </w:r>
      <w:r w:rsidRPr="0020050D">
        <w:rPr>
          <w:b/>
          <w:bCs/>
          <w:lang w:val="en" w:eastAsia="en-AU"/>
        </w:rPr>
        <w:t>.</w:t>
      </w:r>
      <w:r w:rsidRPr="0020050D">
        <w:rPr>
          <w:lang w:val="en" w:eastAsia="en-AU"/>
        </w:rPr>
        <w:t xml:space="preserve"> if a carer is providing extensive support it could mask the impairment</w:t>
      </w:r>
      <w:r w:rsidRPr="0020050D">
        <w:rPr>
          <w:rFonts w:eastAsia="Calibri"/>
          <w:lang w:val="en"/>
        </w:rPr>
        <w:t xml:space="preserve">. </w:t>
      </w:r>
      <w:r w:rsidRPr="0020050D">
        <w:rPr>
          <w:lang w:val="en" w:eastAsia="en-AU"/>
        </w:rPr>
        <w:t>Consider what a person's life would look like if the support was not there.</w:t>
      </w:r>
      <w:r w:rsidRPr="0020050D">
        <w:rPr>
          <w:b/>
          <w:bCs/>
          <w:color w:val="00BD9C"/>
          <w:lang w:val="en" w:eastAsia="en-AU"/>
        </w:rPr>
        <w:t xml:space="preserve"> </w:t>
      </w:r>
    </w:p>
    <w:p w:rsidR="00462155" w:rsidRPr="0020050D" w:rsidRDefault="00462155" w:rsidP="00462155">
      <w:pPr>
        <w:pStyle w:val="DHHSbody"/>
        <w:numPr>
          <w:ilvl w:val="0"/>
          <w:numId w:val="25"/>
        </w:numPr>
        <w:rPr>
          <w:rFonts w:eastAsia="Calibri"/>
          <w:lang w:val="en"/>
        </w:rPr>
      </w:pPr>
      <w:r w:rsidRPr="0020050D">
        <w:rPr>
          <w:rFonts w:eastAsia="Calibri"/>
          <w:b/>
          <w:bCs/>
          <w:lang w:val="en"/>
        </w:rPr>
        <w:t>Between acute episodes: </w:t>
      </w:r>
      <w:r w:rsidRPr="0020050D">
        <w:rPr>
          <w:rFonts w:eastAsia="Calibri"/>
          <w:lang w:val="en"/>
        </w:rPr>
        <w:t xml:space="preserve"> show that the person has difficulty in the domain(s) on a daily basis rather than only when very unwell. </w:t>
      </w:r>
    </w:p>
    <w:p w:rsidR="00462155" w:rsidRPr="0020050D" w:rsidRDefault="00462155" w:rsidP="00462155">
      <w:pPr>
        <w:pStyle w:val="DHHSbody"/>
        <w:numPr>
          <w:ilvl w:val="0"/>
          <w:numId w:val="25"/>
        </w:numPr>
        <w:rPr>
          <w:lang w:val="en" w:eastAsia="en-AU"/>
        </w:rPr>
      </w:pPr>
      <w:r w:rsidRPr="0020050D">
        <w:rPr>
          <w:b/>
          <w:bCs/>
          <w:lang w:val="en" w:eastAsia="en-AU"/>
        </w:rPr>
        <w:t>Relative to a person in the community who has not experienced similar impairment: </w:t>
      </w:r>
      <w:r w:rsidRPr="0020050D">
        <w:rPr>
          <w:lang w:val="en" w:eastAsia="en-AU"/>
        </w:rPr>
        <w:t xml:space="preserve"> consider whether this is something that people </w:t>
      </w:r>
      <w:r w:rsidRPr="0020050D">
        <w:rPr>
          <w:i/>
          <w:iCs/>
          <w:lang w:val="en" w:eastAsia="en-AU"/>
        </w:rPr>
        <w:t>without</w:t>
      </w:r>
      <w:r w:rsidRPr="0020050D">
        <w:rPr>
          <w:lang w:val="en" w:eastAsia="en-AU"/>
        </w:rPr>
        <w:t xml:space="preserve"> a disability might also struggle with. </w:t>
      </w:r>
    </w:p>
    <w:p w:rsidR="00462155" w:rsidRPr="0020050D" w:rsidRDefault="00462155" w:rsidP="00462155">
      <w:pPr>
        <w:pStyle w:val="DHHSbody"/>
        <w:rPr>
          <w:rFonts w:cs="Calibri"/>
          <w:lang w:val="en" w:eastAsia="en-AU"/>
        </w:rPr>
      </w:pPr>
      <w:r w:rsidRPr="0020050D">
        <w:rPr>
          <w:rFonts w:cs="Calibri"/>
          <w:lang w:val="en" w:eastAsia="en-AU"/>
        </w:rPr>
        <w:t>Use language that is clear, concise and doesn't leave any room for misinterpretation. This can be tricky when you are used to phrasing things in a more positive way. Always keep the access criteria in mind and use language that aligns with the requirements.</w:t>
      </w:r>
    </w:p>
    <w:p w:rsidR="00462155" w:rsidRPr="0020050D" w:rsidRDefault="00462155" w:rsidP="00462155">
      <w:pPr>
        <w:pStyle w:val="DHHStablecaption"/>
        <w:rPr>
          <w:lang w:val="en" w:eastAsia="en-AU"/>
        </w:rPr>
      </w:pPr>
      <w:r w:rsidRPr="0020050D">
        <w:rPr>
          <w:lang w:val="en" w:eastAsia="en-AU"/>
        </w:rPr>
        <w:t>Examples of problematic language: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80" w:firstRow="0" w:lastRow="0" w:firstColumn="1" w:lastColumn="0" w:noHBand="1" w:noVBand="1"/>
      </w:tblPr>
      <w:tblGrid>
        <w:gridCol w:w="2806"/>
        <w:gridCol w:w="7388"/>
      </w:tblGrid>
      <w:tr w:rsidR="00462155" w:rsidRPr="003B29C1" w:rsidTr="00AF5BB6">
        <w:trPr>
          <w:trHeight w:val="830"/>
        </w:trPr>
        <w:tc>
          <w:tcPr>
            <w:tcW w:w="2830" w:type="dxa"/>
            <w:tcBorders>
              <w:top w:val="single" w:sz="4" w:space="0" w:color="FFFFFF"/>
              <w:left w:val="single" w:sz="4" w:space="0" w:color="FFFFFF"/>
            </w:tcBorders>
            <w:shd w:val="clear" w:color="auto" w:fill="0070C0"/>
          </w:tcPr>
          <w:p w:rsidR="00462155" w:rsidRPr="003B29C1" w:rsidRDefault="00462155" w:rsidP="00AF5BB6">
            <w:pPr>
              <w:pStyle w:val="DHHSbody"/>
              <w:rPr>
                <w:b/>
                <w:bCs/>
                <w:color w:val="FFFFFF"/>
                <w:sz w:val="22"/>
                <w:szCs w:val="22"/>
              </w:rPr>
            </w:pPr>
            <w:r w:rsidRPr="003B29C1">
              <w:rPr>
                <w:b/>
                <w:bCs/>
                <w:color w:val="FFFFFF"/>
                <w:sz w:val="22"/>
                <w:szCs w:val="22"/>
              </w:rPr>
              <w:t>When unwell</w:t>
            </w:r>
          </w:p>
        </w:tc>
        <w:tc>
          <w:tcPr>
            <w:tcW w:w="7484" w:type="dxa"/>
            <w:shd w:val="clear" w:color="auto" w:fill="DEEAF6"/>
          </w:tcPr>
          <w:p w:rsidR="00462155" w:rsidRPr="0020050D" w:rsidRDefault="00462155" w:rsidP="00AF5BB6">
            <w:pPr>
              <w:pStyle w:val="DHHStabletext"/>
            </w:pPr>
            <w:r w:rsidRPr="0020050D">
              <w:t>this implies that the impairments or impacts are intermittent. To access the NIDS a person must have reduced functional capacity most of the time (on an average day).</w:t>
            </w:r>
          </w:p>
        </w:tc>
      </w:tr>
      <w:tr w:rsidR="00462155" w:rsidRPr="003B29C1" w:rsidTr="00AF5BB6">
        <w:trPr>
          <w:trHeight w:val="830"/>
        </w:trPr>
        <w:tc>
          <w:tcPr>
            <w:tcW w:w="2830" w:type="dxa"/>
            <w:tcBorders>
              <w:left w:val="single" w:sz="4" w:space="0" w:color="FFFFFF"/>
            </w:tcBorders>
            <w:shd w:val="clear" w:color="auto" w:fill="0070C0"/>
          </w:tcPr>
          <w:p w:rsidR="00462155" w:rsidRPr="003B29C1" w:rsidRDefault="00462155" w:rsidP="00AF5BB6">
            <w:pPr>
              <w:pStyle w:val="DHHSbody"/>
              <w:rPr>
                <w:b/>
                <w:bCs/>
                <w:color w:val="FFFFFF"/>
                <w:sz w:val="22"/>
                <w:szCs w:val="22"/>
              </w:rPr>
            </w:pPr>
            <w:r w:rsidRPr="003B29C1">
              <w:rPr>
                <w:b/>
                <w:bCs/>
                <w:color w:val="FFFFFF"/>
                <w:sz w:val="22"/>
                <w:szCs w:val="22"/>
              </w:rPr>
              <w:t>Would benefit from</w:t>
            </w:r>
          </w:p>
        </w:tc>
        <w:tc>
          <w:tcPr>
            <w:tcW w:w="7484" w:type="dxa"/>
            <w:shd w:val="clear" w:color="auto" w:fill="DEEAF6"/>
          </w:tcPr>
          <w:p w:rsidR="00462155" w:rsidRPr="003B29C1" w:rsidRDefault="00462155" w:rsidP="00AF5BB6">
            <w:pPr>
              <w:pStyle w:val="DHHStabletext"/>
              <w:rPr>
                <w:rFonts w:eastAsia="Calibri"/>
                <w:sz w:val="22"/>
                <w:szCs w:val="22"/>
              </w:rPr>
            </w:pPr>
            <w:r w:rsidRPr="0020050D">
              <w:t>this is not a strong enough descriptor for support needs. Lots of people would benefit from support, to access the NDIS a person must need support</w:t>
            </w:r>
          </w:p>
        </w:tc>
      </w:tr>
      <w:tr w:rsidR="00462155" w:rsidRPr="003B29C1" w:rsidTr="00AF5BB6">
        <w:trPr>
          <w:trHeight w:val="830"/>
        </w:trPr>
        <w:tc>
          <w:tcPr>
            <w:tcW w:w="2830" w:type="dxa"/>
            <w:tcBorders>
              <w:left w:val="single" w:sz="4" w:space="0" w:color="FFFFFF"/>
              <w:bottom w:val="single" w:sz="4" w:space="0" w:color="FFFFFF"/>
            </w:tcBorders>
            <w:shd w:val="clear" w:color="auto" w:fill="0070C0"/>
          </w:tcPr>
          <w:p w:rsidR="00462155" w:rsidRPr="003B29C1" w:rsidRDefault="00462155" w:rsidP="00AF5BB6">
            <w:pPr>
              <w:pStyle w:val="DHHSbody"/>
              <w:rPr>
                <w:b/>
                <w:bCs/>
                <w:color w:val="FFFFFF"/>
                <w:sz w:val="22"/>
                <w:szCs w:val="22"/>
              </w:rPr>
            </w:pPr>
            <w:r w:rsidRPr="003B29C1">
              <w:rPr>
                <w:b/>
                <w:bCs/>
                <w:color w:val="FFFFFF"/>
                <w:sz w:val="22"/>
                <w:szCs w:val="22"/>
              </w:rPr>
              <w:t>Guidance and prompting</w:t>
            </w:r>
          </w:p>
        </w:tc>
        <w:tc>
          <w:tcPr>
            <w:tcW w:w="7484" w:type="dxa"/>
            <w:shd w:val="clear" w:color="auto" w:fill="DEEAF6"/>
          </w:tcPr>
          <w:p w:rsidR="00462155" w:rsidRPr="003B29C1" w:rsidRDefault="00462155" w:rsidP="00AF5BB6">
            <w:pPr>
              <w:pStyle w:val="DHHStabletext"/>
              <w:rPr>
                <w:rFonts w:eastAsia="Calibri"/>
                <w:sz w:val="22"/>
                <w:szCs w:val="22"/>
              </w:rPr>
            </w:pPr>
            <w:r w:rsidRPr="0020050D">
              <w:t>these are vague terms because they don’t indicate how much guidance or prompting is required. Instead say exactly what is needed to support the person.</w:t>
            </w:r>
          </w:p>
        </w:tc>
      </w:tr>
    </w:tbl>
    <w:p w:rsidR="00462155" w:rsidRDefault="00462155" w:rsidP="00462155">
      <w:pPr>
        <w:pStyle w:val="DHHSbody"/>
        <w:rPr>
          <w:lang w:val="en" w:eastAsia="en-AU"/>
        </w:rPr>
      </w:pPr>
      <w:r w:rsidRPr="0020050D">
        <w:rPr>
          <w:b/>
          <w:lang w:val="en" w:eastAsia="en-AU"/>
        </w:rPr>
        <w:t>Tip:</w:t>
      </w:r>
      <w:r w:rsidRPr="0020050D">
        <w:rPr>
          <w:lang w:val="en" w:eastAsia="en-AU"/>
        </w:rPr>
        <w:t xml:space="preserve"> make sure the evidence provided supports a consistent narrative to give assessors a clear picture of what the person's life looks like. Use your judgement to build the most convincing evidence base. </w:t>
      </w:r>
    </w:p>
    <w:p w:rsidR="00462155" w:rsidRDefault="00462155" w:rsidP="00462155">
      <w:pPr>
        <w:pStyle w:val="DHHSbody"/>
        <w:spacing w:after="0" w:line="240" w:lineRule="auto"/>
        <w:contextualSpacing/>
        <w:rPr>
          <w:rFonts w:ascii="Tahoma" w:eastAsia="Times New Roman" w:hAnsi="Tahoma" w:cs="Tahoma"/>
          <w:color w:val="000000"/>
        </w:rPr>
      </w:pPr>
      <w:r w:rsidRPr="00481249">
        <w:rPr>
          <w:b/>
        </w:rPr>
        <w:t>Source:</w:t>
      </w:r>
      <w:r>
        <w:t xml:space="preserve"> adapted from the Transition Support Project </w:t>
      </w:r>
      <w:r>
        <w:rPr>
          <w:bCs/>
          <w:i/>
          <w:lang w:val="en"/>
        </w:rPr>
        <w:t xml:space="preserve">Accessing the NDIS, </w:t>
      </w:r>
      <w:r>
        <w:rPr>
          <w:bCs/>
          <w:lang w:val="en"/>
        </w:rPr>
        <w:t xml:space="preserve">Flinders University, Adelaide, </w:t>
      </w:r>
      <w:r w:rsidRPr="00400165">
        <w:t>viewed July 23rd 2018</w:t>
      </w:r>
      <w:r>
        <w:t>, &lt;</w:t>
      </w:r>
      <w:hyperlink r:id="rId13" w:tgtFrame="_blank" w:history="1">
        <w:r w:rsidRPr="00866A3F">
          <w:rPr>
            <w:rFonts w:ascii="Tahoma" w:eastAsia="Times New Roman" w:hAnsi="Tahoma" w:cs="Tahoma"/>
            <w:color w:val="0000FF"/>
            <w:u w:val="single"/>
          </w:rPr>
          <w:t>https://www.transitionsupport.com.au/training/modules/18-accessing-ndis/#/?_k=39e8u7</w:t>
        </w:r>
      </w:hyperlink>
      <w:r>
        <w:rPr>
          <w:rFonts w:ascii="Tahoma" w:eastAsia="Times New Roman" w:hAnsi="Tahoma" w:cs="Tahoma"/>
          <w:color w:val="0000FF"/>
          <w:u w:val="single"/>
        </w:rPr>
        <w:t>&gt;</w:t>
      </w:r>
    </w:p>
    <w:p w:rsidR="00B2752E" w:rsidRPr="00462155" w:rsidRDefault="00B2752E" w:rsidP="00462155">
      <w:pPr>
        <w:rPr>
          <w:rFonts w:ascii="Arial" w:eastAsia="Times" w:hAnsi="Arial"/>
          <w:color w:val="D50032"/>
          <w:sz w:val="26"/>
          <w:szCs w:val="26"/>
        </w:rPr>
      </w:pPr>
    </w:p>
    <w:sectPr w:rsidR="00B2752E" w:rsidRPr="00462155" w:rsidSect="001E6DD5">
      <w:headerReference w:type="default" r:id="rId14"/>
      <w:footerReference w:type="default" r:id="rId15"/>
      <w:type w:val="continuous"/>
      <w:pgSz w:w="11906" w:h="16838" w:code="9"/>
      <w:pgMar w:top="1418" w:right="851" w:bottom="1134" w:left="851" w:header="567" w:footer="269"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BB" w:rsidRDefault="009270BB">
      <w:r>
        <w:separator/>
      </w:r>
    </w:p>
  </w:endnote>
  <w:endnote w:type="continuationSeparator" w:id="0">
    <w:p w:rsidR="009270BB" w:rsidRDefault="009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6A" w:rsidRPr="00F65AA9" w:rsidRDefault="004B30D2" w:rsidP="001E6DD5">
    <w:pPr>
      <w:pStyle w:val="DHHSfooter"/>
      <w:ind w:left="-851"/>
    </w:pPr>
    <w:r>
      <w:rPr>
        <w:noProof/>
        <w:lang w:eastAsia="en-AU"/>
      </w:rPr>
      <w:drawing>
        <wp:inline distT="0" distB="0" distL="0" distR="0">
          <wp:extent cx="7611110" cy="798195"/>
          <wp:effectExtent l="0" t="0" r="8890" b="0"/>
          <wp:docPr id="1" name="Picture 3" descr="Description: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110" cy="7981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6A" w:rsidRPr="00A11421" w:rsidRDefault="00462155" w:rsidP="0051568D">
    <w:pPr>
      <w:pStyle w:val="DHHSfooter"/>
    </w:pPr>
    <w:r>
      <w:t>Providing evidence to test NDIS eligibility: tip sheet</w:t>
    </w:r>
    <w:r w:rsidR="00AB7F6A" w:rsidRPr="00A11421">
      <w:tab/>
    </w:r>
    <w:r w:rsidR="00AB7F6A" w:rsidRPr="00A11421">
      <w:fldChar w:fldCharType="begin"/>
    </w:r>
    <w:r w:rsidR="00AB7F6A" w:rsidRPr="00A11421">
      <w:instrText xml:space="preserve"> PAGE </w:instrText>
    </w:r>
    <w:r w:rsidR="00AB7F6A" w:rsidRPr="00A11421">
      <w:fldChar w:fldCharType="separate"/>
    </w:r>
    <w:r w:rsidR="00494354">
      <w:rPr>
        <w:noProof/>
      </w:rPr>
      <w:t>2</w:t>
    </w:r>
    <w:r w:rsidR="00AB7F6A" w:rsidRPr="00A1142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BB" w:rsidRDefault="009270BB" w:rsidP="002862F1">
      <w:pPr>
        <w:spacing w:before="120"/>
      </w:pPr>
      <w:r>
        <w:separator/>
      </w:r>
    </w:p>
  </w:footnote>
  <w:footnote w:type="continuationSeparator" w:id="0">
    <w:p w:rsidR="009270BB" w:rsidRDefault="00927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6A" w:rsidRPr="0051568D" w:rsidRDefault="00AB7F6A" w:rsidP="0051568D">
    <w:pPr>
      <w:pStyle w:val="DHHS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5C12806"/>
    <w:multiLevelType w:val="multilevel"/>
    <w:tmpl w:val="3550B23C"/>
    <w:lvl w:ilvl="0">
      <w:start w:val="1"/>
      <w:numFmt w:val="bullet"/>
      <w:lvlText w:val=""/>
      <w:lvlJc w:val="left"/>
      <w:pPr>
        <w:ind w:left="284" w:hanging="284"/>
      </w:pPr>
      <w:rPr>
        <w:rFonts w:ascii="Wingdings 2" w:hAnsi="Wingdings 2"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7043995"/>
    <w:multiLevelType w:val="multilevel"/>
    <w:tmpl w:val="6EEEFE9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43A4A6D"/>
    <w:multiLevelType w:val="multilevel"/>
    <w:tmpl w:val="13389D1E"/>
    <w:lvl w:ilvl="0">
      <w:start w:val="1"/>
      <w:numFmt w:val="decimal"/>
      <w:lvlText w:val="%1."/>
      <w:lvlJc w:val="left"/>
      <w:pPr>
        <w:ind w:left="852" w:hanging="284"/>
      </w:pPr>
      <w:rPr>
        <w:rFonts w:hint="default"/>
      </w:rPr>
    </w:lvl>
    <w:lvl w:ilvl="1">
      <w:start w:val="1"/>
      <w:numFmt w:val="bullet"/>
      <w:lvlRestart w:val="0"/>
      <w:lvlText w:val="–"/>
      <w:lvlJc w:val="left"/>
      <w:pPr>
        <w:ind w:left="1135" w:hanging="283"/>
      </w:pPr>
      <w:rPr>
        <w:rFonts w:ascii="Calibri" w:hAnsi="Calibri" w:hint="default"/>
      </w:rPr>
    </w:lvl>
    <w:lvl w:ilvl="2">
      <w:start w:val="1"/>
      <w:numFmt w:val="none"/>
      <w:lvlRestart w:val="0"/>
      <w:lvlText w:val=""/>
      <w:lvlJc w:val="left"/>
      <w:pPr>
        <w:ind w:left="568" w:firstLine="0"/>
      </w:pPr>
      <w:rPr>
        <w:rFonts w:hint="default"/>
      </w:rPr>
    </w:lvl>
    <w:lvl w:ilvl="3">
      <w:start w:val="1"/>
      <w:numFmt w:val="none"/>
      <w:lvlRestart w:val="0"/>
      <w:lvlText w:val=""/>
      <w:lvlJc w:val="left"/>
      <w:pPr>
        <w:ind w:left="568" w:firstLine="0"/>
      </w:pPr>
      <w:rPr>
        <w:rFonts w:hint="default"/>
      </w:rPr>
    </w:lvl>
    <w:lvl w:ilvl="4">
      <w:start w:val="1"/>
      <w:numFmt w:val="none"/>
      <w:lvlRestart w:val="0"/>
      <w:lvlText w:val=""/>
      <w:lvlJc w:val="left"/>
      <w:pPr>
        <w:ind w:left="568" w:firstLine="0"/>
      </w:pPr>
      <w:rPr>
        <w:rFonts w:hint="default"/>
      </w:rPr>
    </w:lvl>
    <w:lvl w:ilvl="5">
      <w:start w:val="1"/>
      <w:numFmt w:val="none"/>
      <w:lvlRestart w:val="0"/>
      <w:lvlText w:val=""/>
      <w:lvlJc w:val="left"/>
      <w:pPr>
        <w:ind w:left="568" w:firstLine="0"/>
      </w:pPr>
      <w:rPr>
        <w:rFonts w:hint="default"/>
      </w:rPr>
    </w:lvl>
    <w:lvl w:ilvl="6">
      <w:start w:val="1"/>
      <w:numFmt w:val="none"/>
      <w:lvlRestart w:val="0"/>
      <w:lvlText w:val=""/>
      <w:lvlJc w:val="left"/>
      <w:pPr>
        <w:ind w:left="568" w:firstLine="0"/>
      </w:pPr>
      <w:rPr>
        <w:rFonts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1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BB"/>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0F33"/>
    <w:rsid w:val="000B3EDB"/>
    <w:rsid w:val="000B543D"/>
    <w:rsid w:val="000B5BF7"/>
    <w:rsid w:val="000B6BC8"/>
    <w:rsid w:val="000C0303"/>
    <w:rsid w:val="000C42EA"/>
    <w:rsid w:val="000C4546"/>
    <w:rsid w:val="000D1242"/>
    <w:rsid w:val="000E0970"/>
    <w:rsid w:val="000E3CC7"/>
    <w:rsid w:val="000E6BD4"/>
    <w:rsid w:val="000F1F1E"/>
    <w:rsid w:val="000F2259"/>
    <w:rsid w:val="00102A62"/>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4EA8"/>
    <w:rsid w:val="001D60EC"/>
    <w:rsid w:val="001E44DF"/>
    <w:rsid w:val="001E68A5"/>
    <w:rsid w:val="001E6BB0"/>
    <w:rsid w:val="001E6DD5"/>
    <w:rsid w:val="001F3826"/>
    <w:rsid w:val="001F6E46"/>
    <w:rsid w:val="001F7C91"/>
    <w:rsid w:val="002030D4"/>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2E6F"/>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0D54"/>
    <w:rsid w:val="003716FD"/>
    <w:rsid w:val="0037204B"/>
    <w:rsid w:val="003744CF"/>
    <w:rsid w:val="00374717"/>
    <w:rsid w:val="0037676C"/>
    <w:rsid w:val="00381043"/>
    <w:rsid w:val="003829E5"/>
    <w:rsid w:val="00392974"/>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62155"/>
    <w:rsid w:val="0047372D"/>
    <w:rsid w:val="00473BA3"/>
    <w:rsid w:val="004743DD"/>
    <w:rsid w:val="00474CEA"/>
    <w:rsid w:val="00483968"/>
    <w:rsid w:val="00484F86"/>
    <w:rsid w:val="00490746"/>
    <w:rsid w:val="00490852"/>
    <w:rsid w:val="00492F30"/>
    <w:rsid w:val="00494354"/>
    <w:rsid w:val="004946F4"/>
    <w:rsid w:val="0049487E"/>
    <w:rsid w:val="004A160D"/>
    <w:rsid w:val="004A3E81"/>
    <w:rsid w:val="004A4A83"/>
    <w:rsid w:val="004A5C62"/>
    <w:rsid w:val="004A707D"/>
    <w:rsid w:val="004B12A1"/>
    <w:rsid w:val="004B30D2"/>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27A14"/>
    <w:rsid w:val="00536499"/>
    <w:rsid w:val="00543903"/>
    <w:rsid w:val="00543F11"/>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3EF2"/>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0BB"/>
    <w:rsid w:val="0092724D"/>
    <w:rsid w:val="0093338F"/>
    <w:rsid w:val="009375D3"/>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7F6A"/>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55D1"/>
    <w:rsid w:val="00C26588"/>
    <w:rsid w:val="00C27DE9"/>
    <w:rsid w:val="00C33388"/>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6868"/>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639A68"/>
  <w15:docId w15:val="{529D217A-1DEC-416F-A863-27DFEE6E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0154FD"/>
    <w:rPr>
      <w:rFonts w:ascii="Cambria" w:hAnsi="Cambria"/>
    </w:rPr>
  </w:style>
  <w:style w:type="paragraph" w:styleId="Heading1">
    <w:name w:val="heading 1"/>
    <w:next w:val="DHHSbody"/>
    <w:link w:val="Heading1Char"/>
    <w:uiPriority w:val="1"/>
    <w:qFormat/>
    <w:rsid w:val="00AB7F6A"/>
    <w:pPr>
      <w:keepNext/>
      <w:keepLines/>
      <w:spacing w:before="320" w:after="200" w:line="440" w:lineRule="atLeast"/>
      <w:outlineLvl w:val="0"/>
    </w:pPr>
    <w:rPr>
      <w:rFonts w:ascii="Arial" w:eastAsia="MS Gothic" w:hAnsi="Arial" w:cs="Arial"/>
      <w:color w:val="004EA8"/>
      <w:kern w:val="32"/>
      <w:sz w:val="36"/>
      <w:szCs w:val="36"/>
    </w:rPr>
  </w:style>
  <w:style w:type="paragraph" w:styleId="Heading2">
    <w:name w:val="heading 2"/>
    <w:next w:val="DHHSbody"/>
    <w:link w:val="Heading2Char"/>
    <w:uiPriority w:val="1"/>
    <w:qFormat/>
    <w:rsid w:val="00AB7F6A"/>
    <w:pPr>
      <w:keepNext/>
      <w:keepLines/>
      <w:spacing w:before="240" w:after="90" w:line="320" w:lineRule="atLeast"/>
      <w:outlineLvl w:val="1"/>
    </w:pPr>
    <w:rPr>
      <w:rFonts w:ascii="Arial" w:hAnsi="Arial"/>
      <w:b/>
      <w:bCs/>
      <w:color w:val="004EA8"/>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AB7F6A"/>
    <w:rPr>
      <w:rFonts w:ascii="Arial" w:eastAsia="MS Gothic" w:hAnsi="Arial" w:cs="Arial"/>
      <w:color w:val="004EA8"/>
      <w:kern w:val="32"/>
      <w:sz w:val="36"/>
      <w:szCs w:val="36"/>
    </w:rPr>
  </w:style>
  <w:style w:type="character" w:customStyle="1" w:styleId="Heading2Char">
    <w:name w:val="Heading 2 Char"/>
    <w:link w:val="Heading2"/>
    <w:uiPriority w:val="1"/>
    <w:rsid w:val="00AB7F6A"/>
    <w:rPr>
      <w:rFonts w:ascii="Arial" w:hAnsi="Arial"/>
      <w:b/>
      <w:bCs/>
      <w:color w:val="004EA8"/>
      <w:sz w:val="28"/>
      <w:szCs w:val="28"/>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AB7F6A"/>
    <w:pPr>
      <w:spacing w:before="0" w:after="200"/>
      <w:outlineLvl w:val="9"/>
    </w:pPr>
  </w:style>
  <w:style w:type="character" w:customStyle="1" w:styleId="DHHSTOCheadingfactsheetChar">
    <w:name w:val="DHHS TOC heading fact sheet Char"/>
    <w:link w:val="DHHSTOCheadingfactsheet"/>
    <w:uiPriority w:val="4"/>
    <w:rsid w:val="00AB7F6A"/>
    <w:rPr>
      <w:rFonts w:ascii="Arial" w:hAnsi="Arial"/>
      <w:b/>
      <w:bCs/>
      <w:color w:val="004EA8"/>
      <w:sz w:val="28"/>
      <w:szCs w:val="28"/>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B7F6A"/>
    <w:pPr>
      <w:spacing w:before="80" w:after="60"/>
    </w:pPr>
    <w:rPr>
      <w:rFonts w:ascii="Arial" w:hAnsi="Arial"/>
      <w:b/>
      <w:bCs/>
      <w:color w:val="004EA8"/>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1E6DD5"/>
    <w:rPr>
      <w:rFonts w:ascii="Lucida Grande" w:hAnsi="Lucida Grande" w:cs="Lucida Grande"/>
      <w:sz w:val="18"/>
      <w:szCs w:val="18"/>
    </w:rPr>
  </w:style>
  <w:style w:type="character" w:customStyle="1" w:styleId="BalloonTextChar">
    <w:name w:val="Balloon Text Char"/>
    <w:link w:val="BalloonText"/>
    <w:uiPriority w:val="99"/>
    <w:semiHidden/>
    <w:rsid w:val="001E6DD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staff.austin.org.au/cvpn/http/server650s.armc.org.au/owa/redir.aspx?C=NkzaMihPYZ87Z14cokmXD-MORtBCyCmzZPXQJ2EkKcCsJGO8V_DVCA..&amp;URL=https%3a%2f%2fwww.transitionsupport.com.au%2ftraining%2fmodules%2f18-accessing-ndis%2f%23%2f%3f_k%3d39e8u7"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ransitionsupport.com.au/lessons/2OnfcGuxCFv5NCmue-gZQFSvmugsK-M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itionsupport.com.au/lessons/nZnN54ZJ4_gnKXqeLVREw_doMWwTH-J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ransitionsupport.com.au/lessons/nZnN54ZJ4_gnKXqeLVREw_doMWwTH-J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transitionsupport.com.au/lessons/RVD9FcHqTokrb2ykd1FVbNi9O4BAh7-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aay\AppData\Local\Microsoft\Windows\Temporary%20Internet%20Files\Content.Outlook\0MTO2V30\Mental%20Health%20%20NDIS%20Project_Fact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12A316454E64BB834F18730BB9BFB" ma:contentTypeVersion="0" ma:contentTypeDescription="Create a new document." ma:contentTypeScope="" ma:versionID="27f1ee597b5dedaf27785f13f9769e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67C56-3AC8-4143-9CB2-5B82AE9B7474}"/>
</file>

<file path=customXml/itemProps2.xml><?xml version="1.0" encoding="utf-8"?>
<ds:datastoreItem xmlns:ds="http://schemas.openxmlformats.org/officeDocument/2006/customXml" ds:itemID="{99CAF189-2A9F-4125-A51E-0B613D1007E4}"/>
</file>

<file path=customXml/itemProps3.xml><?xml version="1.0" encoding="utf-8"?>
<ds:datastoreItem xmlns:ds="http://schemas.openxmlformats.org/officeDocument/2006/customXml" ds:itemID="{EE8BC30D-002D-440D-B318-A6EEC74776DF}"/>
</file>

<file path=docProps/app.xml><?xml version="1.0" encoding="utf-8"?>
<Properties xmlns="http://schemas.openxmlformats.org/officeDocument/2006/extended-properties" xmlns:vt="http://schemas.openxmlformats.org/officeDocument/2006/docPropsVTypes">
  <Template>Mental Health  NDIS Project_Factsheet_template</Template>
  <TotalTime>0</TotalTime>
  <Pages>2</Pages>
  <Words>946</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6888</CharactersWithSpaces>
  <SharedDoc>false</SharedDoc>
  <HyperlinkBase/>
  <HLinks>
    <vt:vector size="54" baseType="variant">
      <vt:variant>
        <vt:i4>7602187</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7143542</vt:i4>
      </vt:variant>
      <vt:variant>
        <vt:i4>30</vt:i4>
      </vt:variant>
      <vt:variant>
        <vt:i4>0</vt:i4>
      </vt:variant>
      <vt:variant>
        <vt:i4>5</vt:i4>
      </vt:variant>
      <vt:variant>
        <vt:lpwstr>http://library.intranet.vic.gov.au/client/en_AU/vglsweb-depi/?rm=ISBN0%7C%7C%7C1%7C%7C%7C0%7C%7C%7Ctrue</vt:lpwstr>
      </vt:variant>
      <vt:variant>
        <vt:lpwstr/>
      </vt:variant>
      <vt:variant>
        <vt:i4>7864413</vt:i4>
      </vt:variant>
      <vt:variant>
        <vt:i4>27</vt:i4>
      </vt:variant>
      <vt:variant>
        <vt:i4>0</vt:i4>
      </vt:variant>
      <vt:variant>
        <vt:i4>5</vt:i4>
      </vt:variant>
      <vt:variant>
        <vt:lpwstr>https://intranet.dhhs.vic.gov.au/templates-our-visual-style</vt:lpwstr>
      </vt:variant>
      <vt:variant>
        <vt:lpwstr/>
      </vt:variant>
      <vt:variant>
        <vt:i4>1310735</vt:i4>
      </vt:variant>
      <vt:variant>
        <vt:i4>20</vt:i4>
      </vt:variant>
      <vt:variant>
        <vt:i4>0</vt:i4>
      </vt:variant>
      <vt:variant>
        <vt:i4>5</vt:i4>
      </vt:variant>
      <vt:variant>
        <vt:lpwstr/>
      </vt:variant>
      <vt:variant>
        <vt:lpwstr>_Toc480380487</vt:lpwstr>
      </vt:variant>
      <vt:variant>
        <vt:i4>1310734</vt:i4>
      </vt:variant>
      <vt:variant>
        <vt:i4>14</vt:i4>
      </vt:variant>
      <vt:variant>
        <vt:i4>0</vt:i4>
      </vt:variant>
      <vt:variant>
        <vt:i4>5</vt:i4>
      </vt:variant>
      <vt:variant>
        <vt:lpwstr/>
      </vt:variant>
      <vt:variant>
        <vt:lpwstr>_Toc480380486</vt:lpwstr>
      </vt:variant>
      <vt:variant>
        <vt:i4>1310733</vt:i4>
      </vt:variant>
      <vt:variant>
        <vt:i4>8</vt:i4>
      </vt:variant>
      <vt:variant>
        <vt:i4>0</vt:i4>
      </vt:variant>
      <vt:variant>
        <vt:i4>5</vt:i4>
      </vt:variant>
      <vt:variant>
        <vt:lpwstr/>
      </vt:variant>
      <vt:variant>
        <vt:lpwstr>_Toc480380485</vt:lpwstr>
      </vt:variant>
      <vt:variant>
        <vt:i4>1310732</vt:i4>
      </vt:variant>
      <vt:variant>
        <vt:i4>2</vt:i4>
      </vt:variant>
      <vt:variant>
        <vt:i4>0</vt:i4>
      </vt:variant>
      <vt:variant>
        <vt:i4>5</vt:i4>
      </vt:variant>
      <vt:variant>
        <vt:lpwstr/>
      </vt:variant>
      <vt:variant>
        <vt:lpwstr>_Toc480380484</vt:lpwstr>
      </vt:variant>
      <vt:variant>
        <vt:i4>3014668</vt:i4>
      </vt:variant>
      <vt:variant>
        <vt:i4>-1</vt:i4>
      </vt:variant>
      <vt:variant>
        <vt:i4>1033</vt:i4>
      </vt:variant>
      <vt:variant>
        <vt:i4>1</vt:i4>
      </vt:variant>
      <vt:variant>
        <vt:lpwstr>Mental Health &amp; NDIS Project_Factsheet Banner Portrait_Blue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Anne-marie</dc:creator>
  <cp:lastModifiedBy>localuser</cp:lastModifiedBy>
  <cp:revision>2</cp:revision>
  <cp:lastPrinted>2017-07-07T00:32:00Z</cp:lastPrinted>
  <dcterms:created xsi:type="dcterms:W3CDTF">2018-07-25T02:59:00Z</dcterms:created>
  <dcterms:modified xsi:type="dcterms:W3CDTF">2018-07-25T02:59:00Z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0x010100EA912A316454E64BB834F18730BB9BFB</vt:lpwstr>
  </property>
</Properties>
</file>