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10B" w:rsidRDefault="00370446" w:rsidP="003F09CA">
      <w:pPr>
        <w:ind w:left="567" w:firstLine="851"/>
        <w:rPr>
          <w:rFonts w:ascii="Arial" w:hAnsi="Arial"/>
          <w:sz w:val="20"/>
        </w:rPr>
      </w:pPr>
      <w:bookmarkStart w:id="0" w:name="_GoBack"/>
      <w:bookmarkEnd w:id="0"/>
      <w:r>
        <w:rPr>
          <w:rFonts w:ascii="Arial" w:hAnsi="Arial"/>
          <w:noProof/>
          <w:sz w:val="20"/>
          <w:lang w:val="en-AU" w:eastAsia="en-AU"/>
        </w:rPr>
        <mc:AlternateContent>
          <mc:Choice Requires="wps">
            <w:drawing>
              <wp:anchor distT="0" distB="0" distL="114300" distR="114300" simplePos="0" relativeHeight="251659264" behindDoc="0" locked="0" layoutInCell="1" allowOverlap="1" wp14:anchorId="6DEC426D" wp14:editId="1BBD4A2F">
                <wp:simplePos x="0" y="0"/>
                <wp:positionH relativeFrom="column">
                  <wp:posOffset>-615315</wp:posOffset>
                </wp:positionH>
                <wp:positionV relativeFrom="paragraph">
                  <wp:posOffset>-404495</wp:posOffset>
                </wp:positionV>
                <wp:extent cx="4796790" cy="100901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4796790" cy="1009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70446" w:rsidRPr="006A4146" w:rsidRDefault="00370446" w:rsidP="00370446">
                            <w:pPr>
                              <w:pStyle w:val="BasicParagraph"/>
                              <w:ind w:left="57"/>
                              <w:rPr>
                                <w:rFonts w:ascii="Calibri" w:hAnsi="Calibri" w:cs="Calibri-Bold"/>
                                <w:b/>
                                <w:bCs/>
                                <w:color w:val="FFFFFF" w:themeColor="background1"/>
                                <w:sz w:val="72"/>
                                <w:szCs w:val="72"/>
                              </w:rPr>
                            </w:pPr>
                            <w:r w:rsidRPr="006A4146">
                              <w:rPr>
                                <w:rFonts w:ascii="Calibri" w:hAnsi="Calibri" w:cs="Calibri-Bold"/>
                                <w:b/>
                                <w:bCs/>
                                <w:color w:val="FFFFFF" w:themeColor="background1"/>
                                <w:sz w:val="56"/>
                                <w:szCs w:val="56"/>
                              </w:rPr>
                              <w:t>Case</w:t>
                            </w:r>
                            <w:r w:rsidRPr="006A4146">
                              <w:rPr>
                                <w:rFonts w:ascii="Calibri" w:hAnsi="Calibri" w:cs="Calibri-Bold"/>
                                <w:b/>
                                <w:bCs/>
                                <w:color w:val="FFFFFF" w:themeColor="background1"/>
                                <w:sz w:val="72"/>
                                <w:szCs w:val="72"/>
                              </w:rPr>
                              <w:t xml:space="preserve"> </w:t>
                            </w:r>
                            <w:r w:rsidR="002B0EEB">
                              <w:rPr>
                                <w:rFonts w:ascii="Calibri" w:hAnsi="Calibri" w:cs="Calibri-Bold"/>
                                <w:b/>
                                <w:bCs/>
                                <w:color w:val="FFFFFF" w:themeColor="background1"/>
                                <w:sz w:val="56"/>
                                <w:szCs w:val="56"/>
                              </w:rPr>
                              <w:t xml:space="preserve">Study </w:t>
                            </w:r>
                            <w:r w:rsidR="00DB62C2">
                              <w:rPr>
                                <w:rFonts w:ascii="Calibri" w:hAnsi="Calibri" w:cs="Calibri-Bold"/>
                                <w:b/>
                                <w:bCs/>
                                <w:color w:val="FFFFFF" w:themeColor="background1"/>
                                <w:sz w:val="56"/>
                                <w:szCs w:val="56"/>
                              </w:rPr>
                              <w:t xml:space="preserve">- Healthy Choices </w:t>
                            </w:r>
                            <w:r w:rsidR="002B0EEB">
                              <w:rPr>
                                <w:rFonts w:ascii="Calibri" w:hAnsi="Calibri" w:cs="Calibri-Bold"/>
                                <w:b/>
                                <w:bCs/>
                                <w:color w:val="FFFFFF" w:themeColor="background1"/>
                                <w:sz w:val="56"/>
                                <w:szCs w:val="56"/>
                              </w:rPr>
                              <w:t>2016</w:t>
                            </w:r>
                            <w:r w:rsidRPr="006A4146">
                              <w:rPr>
                                <w:rFonts w:ascii="Calibri" w:hAnsi="Calibri" w:cs="Calibri-Bold"/>
                                <w:b/>
                                <w:bCs/>
                                <w:color w:val="FFFFFF" w:themeColor="background1"/>
                                <w:sz w:val="56"/>
                                <w:szCs w:val="56"/>
                              </w:rPr>
                              <w:t>-18</w:t>
                            </w:r>
                          </w:p>
                          <w:p w:rsidR="00893DBB" w:rsidRDefault="00893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8.45pt;margin-top:-31.85pt;width:377.7pt;height: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mnqQIAAKQ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" filled="f" stroked="f">
                <v:textbox>
                  <w:txbxContent>
                    <w:p w:rsidR="00370446" w:rsidRPr="006A4146" w:rsidRDefault="00370446" w:rsidP="00370446">
                      <w:pPr>
                        <w:pStyle w:val="BasicParagraph"/>
                        <w:ind w:left="57"/>
                        <w:rPr>
                          <w:rFonts w:ascii="Calibri" w:hAnsi="Calibri" w:cs="Calibri-Bold"/>
                          <w:b/>
                          <w:bCs/>
                          <w:color w:val="FFFFFF" w:themeColor="background1"/>
                          <w:sz w:val="72"/>
                          <w:szCs w:val="72"/>
                        </w:rPr>
                      </w:pPr>
                      <w:r w:rsidRPr="006A4146">
                        <w:rPr>
                          <w:rFonts w:ascii="Calibri" w:hAnsi="Calibri" w:cs="Calibri-Bold"/>
                          <w:b/>
                          <w:bCs/>
                          <w:color w:val="FFFFFF" w:themeColor="background1"/>
                          <w:sz w:val="56"/>
                          <w:szCs w:val="56"/>
                        </w:rPr>
                        <w:t>Case</w:t>
                      </w:r>
                      <w:r w:rsidRPr="006A4146">
                        <w:rPr>
                          <w:rFonts w:ascii="Calibri" w:hAnsi="Calibri" w:cs="Calibri-Bold"/>
                          <w:b/>
                          <w:bCs/>
                          <w:color w:val="FFFFFF" w:themeColor="background1"/>
                          <w:sz w:val="72"/>
                          <w:szCs w:val="72"/>
                        </w:rPr>
                        <w:t xml:space="preserve"> </w:t>
                      </w:r>
                      <w:r w:rsidR="002B0EEB">
                        <w:rPr>
                          <w:rFonts w:ascii="Calibri" w:hAnsi="Calibri" w:cs="Calibri-Bold"/>
                          <w:b/>
                          <w:bCs/>
                          <w:color w:val="FFFFFF" w:themeColor="background1"/>
                          <w:sz w:val="56"/>
                          <w:szCs w:val="56"/>
                        </w:rPr>
                        <w:t xml:space="preserve">Study </w:t>
                      </w:r>
                      <w:r w:rsidR="00DB62C2">
                        <w:rPr>
                          <w:rFonts w:ascii="Calibri" w:hAnsi="Calibri" w:cs="Calibri-Bold"/>
                          <w:b/>
                          <w:bCs/>
                          <w:color w:val="FFFFFF" w:themeColor="background1"/>
                          <w:sz w:val="56"/>
                          <w:szCs w:val="56"/>
                        </w:rPr>
                        <w:t xml:space="preserve">- Healthy Choices </w:t>
                      </w:r>
                      <w:r w:rsidR="002B0EEB">
                        <w:rPr>
                          <w:rFonts w:ascii="Calibri" w:hAnsi="Calibri" w:cs="Calibri-Bold"/>
                          <w:b/>
                          <w:bCs/>
                          <w:color w:val="FFFFFF" w:themeColor="background1"/>
                          <w:sz w:val="56"/>
                          <w:szCs w:val="56"/>
                        </w:rPr>
                        <w:t>2016</w:t>
                      </w:r>
                      <w:r w:rsidRPr="006A4146">
                        <w:rPr>
                          <w:rFonts w:ascii="Calibri" w:hAnsi="Calibri" w:cs="Calibri-Bold"/>
                          <w:b/>
                          <w:bCs/>
                          <w:color w:val="FFFFFF" w:themeColor="background1"/>
                          <w:sz w:val="56"/>
                          <w:szCs w:val="56"/>
                        </w:rPr>
                        <w:t>-18</w:t>
                      </w:r>
                    </w:p>
                    <w:p w:rsidR="00893DBB" w:rsidRDefault="00893DBB"/>
                  </w:txbxContent>
                </v:textbox>
                <w10:wrap type="square"/>
              </v:shape>
            </w:pict>
          </mc:Fallback>
        </mc:AlternateContent>
      </w:r>
    </w:p>
    <w:p w:rsidR="0048510B" w:rsidRPr="0048510B" w:rsidRDefault="0048510B" w:rsidP="0048510B">
      <w:pPr>
        <w:rPr>
          <w:rFonts w:ascii="Arial" w:hAnsi="Arial"/>
          <w:sz w:val="20"/>
        </w:rPr>
      </w:pPr>
    </w:p>
    <w:p w:rsidR="0048510B" w:rsidRPr="0048510B" w:rsidRDefault="0048510B" w:rsidP="0048510B">
      <w:pPr>
        <w:rPr>
          <w:rFonts w:ascii="Arial" w:hAnsi="Arial"/>
          <w:sz w:val="20"/>
        </w:rPr>
      </w:pPr>
    </w:p>
    <w:p w:rsidR="0048510B" w:rsidRPr="0048510B" w:rsidRDefault="0048510B" w:rsidP="0048510B">
      <w:pPr>
        <w:rPr>
          <w:rFonts w:ascii="Arial" w:hAnsi="Arial"/>
          <w:sz w:val="20"/>
        </w:rPr>
      </w:pPr>
    </w:p>
    <w:p w:rsidR="0048510B" w:rsidRPr="0048510B" w:rsidRDefault="000E0148" w:rsidP="0048510B">
      <w:pPr>
        <w:rPr>
          <w:rFonts w:ascii="Arial" w:hAnsi="Arial"/>
          <w:sz w:val="20"/>
        </w:rPr>
      </w:pPr>
      <w:r>
        <w:rPr>
          <w:rFonts w:ascii="Arial" w:hAnsi="Arial"/>
          <w:noProof/>
          <w:sz w:val="20"/>
          <w:lang w:val="en-AU" w:eastAsia="en-AU"/>
        </w:rPr>
        <mc:AlternateContent>
          <mc:Choice Requires="wps">
            <w:drawing>
              <wp:anchor distT="0" distB="0" distL="114300" distR="114300" simplePos="0" relativeHeight="251660288" behindDoc="0" locked="0" layoutInCell="1" allowOverlap="1" wp14:anchorId="79C60EB1" wp14:editId="3E2E9037">
                <wp:simplePos x="0" y="0"/>
                <wp:positionH relativeFrom="column">
                  <wp:posOffset>-4846955</wp:posOffset>
                </wp:positionH>
                <wp:positionV relativeFrom="paragraph">
                  <wp:posOffset>9525</wp:posOffset>
                </wp:positionV>
                <wp:extent cx="3966210" cy="6883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66210" cy="68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93DBB" w:rsidRPr="000E0148" w:rsidRDefault="002B0EEB">
                            <w:pPr>
                              <w:rPr>
                                <w:rFonts w:ascii="Calibri" w:hAnsi="Calibri"/>
                                <w:b/>
                                <w:color w:val="EFA348"/>
                                <w:sz w:val="36"/>
                                <w:szCs w:val="36"/>
                              </w:rPr>
                            </w:pPr>
                            <w:r>
                              <w:rPr>
                                <w:rFonts w:ascii="Calibri" w:hAnsi="Calibri"/>
                                <w:b/>
                                <w:color w:val="EFA348"/>
                                <w:sz w:val="36"/>
                                <w:szCs w:val="36"/>
                              </w:rPr>
                              <w:t>Benjamin Brewin- Health Promotion</w:t>
                            </w:r>
                            <w:r w:rsidR="000E0148" w:rsidRPr="000E0148">
                              <w:rPr>
                                <w:rFonts w:ascii="Calibri" w:hAnsi="Calibri"/>
                                <w:b/>
                                <w:color w:val="EFA348"/>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81.65pt;margin-top:.75pt;width:312.3pt;height:5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" filled="f" stroked="f">
                <v:textbox>
                  <w:txbxContent>
                    <w:p w:rsidR="00893DBB" w:rsidRPr="000E0148" w:rsidRDefault="002B0EEB">
                      <w:pPr>
                        <w:rPr>
                          <w:rFonts w:ascii="Calibri" w:hAnsi="Calibri"/>
                          <w:b/>
                          <w:color w:val="EFA348"/>
                          <w:sz w:val="36"/>
                          <w:szCs w:val="36"/>
                        </w:rPr>
                      </w:pPr>
                      <w:r>
                        <w:rPr>
                          <w:rFonts w:ascii="Calibri" w:hAnsi="Calibri"/>
                          <w:b/>
                          <w:color w:val="EFA348"/>
                          <w:sz w:val="36"/>
                          <w:szCs w:val="36"/>
                        </w:rPr>
                        <w:t>Benjamin Brewin- Health Promotion</w:t>
                      </w:r>
                      <w:r w:rsidR="000E0148" w:rsidRPr="000E0148">
                        <w:rPr>
                          <w:rFonts w:ascii="Calibri" w:hAnsi="Calibri"/>
                          <w:b/>
                          <w:color w:val="EFA348"/>
                          <w:sz w:val="36"/>
                          <w:szCs w:val="36"/>
                        </w:rPr>
                        <w:t xml:space="preserve"> </w:t>
                      </w:r>
                    </w:p>
                  </w:txbxContent>
                </v:textbox>
                <w10:wrap type="square"/>
              </v:shape>
            </w:pict>
          </mc:Fallback>
        </mc:AlternateContent>
      </w:r>
    </w:p>
    <w:p w:rsidR="0048510B" w:rsidRPr="0048510B" w:rsidRDefault="0048510B" w:rsidP="0048510B">
      <w:pPr>
        <w:rPr>
          <w:rFonts w:ascii="Arial" w:hAnsi="Arial"/>
          <w:sz w:val="20"/>
        </w:rPr>
      </w:pPr>
    </w:p>
    <w:p w:rsidR="0048510B" w:rsidRPr="0048510B" w:rsidRDefault="0048510B" w:rsidP="0048510B">
      <w:pPr>
        <w:rPr>
          <w:rFonts w:ascii="Arial" w:hAnsi="Arial"/>
          <w:sz w:val="20"/>
        </w:rPr>
      </w:pPr>
    </w:p>
    <w:p w:rsidR="0048510B" w:rsidRDefault="0048510B" w:rsidP="0048510B">
      <w:pPr>
        <w:tabs>
          <w:tab w:val="left" w:pos="3815"/>
        </w:tabs>
        <w:rPr>
          <w:rFonts w:ascii="Arial" w:hAnsi="Arial"/>
          <w:sz w:val="20"/>
        </w:rPr>
      </w:pPr>
    </w:p>
    <w:p w:rsidR="004C4B9A" w:rsidRDefault="004C4B9A" w:rsidP="0048510B">
      <w:pPr>
        <w:tabs>
          <w:tab w:val="left" w:pos="3815"/>
        </w:tabs>
        <w:rPr>
          <w:rFonts w:ascii="Arial" w:hAnsi="Arial"/>
          <w:sz w:val="20"/>
        </w:rPr>
      </w:pPr>
    </w:p>
    <w:p w:rsidR="00370446" w:rsidRDefault="00370446" w:rsidP="00924018">
      <w:pPr>
        <w:jc w:val="center"/>
        <w:rPr>
          <w:rFonts w:asciiTheme="majorHAnsi" w:hAnsiTheme="majorHAnsi" w:cstheme="majorHAnsi"/>
          <w:b/>
          <w:color w:val="E36C0A" w:themeColor="accent6" w:themeShade="BF"/>
          <w:lang w:val="en-AU"/>
        </w:rPr>
      </w:pPr>
    </w:p>
    <w:p w:rsidR="00370446" w:rsidRDefault="00370446" w:rsidP="00924018">
      <w:pPr>
        <w:jc w:val="center"/>
        <w:rPr>
          <w:rFonts w:asciiTheme="majorHAnsi" w:hAnsiTheme="majorHAnsi" w:cstheme="majorHAnsi"/>
          <w:b/>
          <w:color w:val="E36C0A" w:themeColor="accent6" w:themeShade="BF"/>
          <w:lang w:val="en-AU"/>
        </w:rPr>
      </w:pPr>
    </w:p>
    <w:p w:rsidR="000E0148" w:rsidRDefault="000E0148" w:rsidP="00924018">
      <w:pPr>
        <w:jc w:val="center"/>
        <w:rPr>
          <w:rFonts w:asciiTheme="majorHAnsi" w:hAnsiTheme="majorHAnsi" w:cstheme="majorHAnsi"/>
          <w:b/>
          <w:color w:val="E36C0A" w:themeColor="accent6" w:themeShade="BF"/>
          <w:lang w:val="en-AU"/>
        </w:rPr>
      </w:pPr>
    </w:p>
    <w:p w:rsidR="000E0148" w:rsidRDefault="000E0148" w:rsidP="00924018">
      <w:pPr>
        <w:jc w:val="center"/>
        <w:rPr>
          <w:rFonts w:asciiTheme="majorHAnsi" w:hAnsiTheme="majorHAnsi" w:cstheme="majorHAnsi"/>
          <w:b/>
          <w:color w:val="E36C0A" w:themeColor="accent6" w:themeShade="BF"/>
          <w:lang w:val="en-AU"/>
        </w:rPr>
      </w:pPr>
    </w:p>
    <w:p w:rsidR="001F0BE4" w:rsidRDefault="001F0BE4" w:rsidP="00DB62C2">
      <w:pPr>
        <w:jc w:val="both"/>
        <w:rPr>
          <w:rFonts w:asciiTheme="majorHAnsi" w:hAnsiTheme="majorHAnsi" w:cstheme="majorHAnsi"/>
          <w:b/>
          <w:color w:val="E36C0A" w:themeColor="accent6" w:themeShade="BF"/>
          <w:lang w:val="en-AU"/>
        </w:rPr>
      </w:pPr>
    </w:p>
    <w:p w:rsidR="00DB62C2" w:rsidRPr="00DB62C2" w:rsidRDefault="00DB62C2" w:rsidP="00DB62C2">
      <w:pPr>
        <w:rPr>
          <w:rFonts w:asciiTheme="majorHAnsi" w:hAnsiTheme="majorHAnsi" w:cstheme="majorHAnsi"/>
          <w:b/>
          <w:sz w:val="22"/>
          <w:szCs w:val="22"/>
          <w:lang w:val="en-AU"/>
        </w:rPr>
      </w:pPr>
      <w:r w:rsidRPr="00DB62C2">
        <w:rPr>
          <w:rFonts w:asciiTheme="majorHAnsi" w:hAnsiTheme="majorHAnsi" w:cstheme="majorHAnsi"/>
          <w:b/>
          <w:sz w:val="22"/>
          <w:szCs w:val="22"/>
          <w:lang w:val="en-AU"/>
        </w:rPr>
        <w:t>Introduction:</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rPr>
        <w:t xml:space="preserve">Eastern Health (EH) Executive committed to the Healthy Eating Benchmark of the State Government Achievement Program in late 2014 (Achievement Program, 2018). </w:t>
      </w:r>
      <w:r w:rsidRPr="00DB62C2">
        <w:rPr>
          <w:rFonts w:asciiTheme="majorHAnsi" w:hAnsiTheme="majorHAnsi" w:cstheme="majorHAnsi"/>
          <w:sz w:val="22"/>
          <w:szCs w:val="22"/>
          <w:lang w:val="en-AU"/>
        </w:rPr>
        <w:t xml:space="preserve">This commitment has led to the development of the Healthy Choices Project Group and the ongoing Implementation of the Victorian Healthy Choices (HC) framework (Healthy Choices Guidelines, 2018) across all EH sites. EH has 7 retail sites that provide food and drinks across 5 campuses. This includes 5 privately facilitated cafeterias operated by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and 2 auxiliary kiosks run internally by Eastern Health. EH has been part of the Healthy Choices journey for over 5 years to 2018. As part of the journey EH staff have worked closely with our retail and vending suppliers, aiming to increase the availability of healthy foods and drinks to staff and the general public accessing the facilities. This work at EH is led by the Healthy Choices Project Group which consists of: EH staff from multiple backgrounds and leadership positions and representation from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Health Promotion instigated the alignment of healthy choices to the internal </w:t>
      </w:r>
      <w:proofErr w:type="gramStart"/>
      <w:r w:rsidRPr="00DB62C2">
        <w:rPr>
          <w:rFonts w:asciiTheme="majorHAnsi" w:hAnsiTheme="majorHAnsi" w:cstheme="majorHAnsi"/>
          <w:sz w:val="22"/>
          <w:szCs w:val="22"/>
          <w:lang w:val="en-AU"/>
        </w:rPr>
        <w:t>EH  organisational</w:t>
      </w:r>
      <w:proofErr w:type="gramEnd"/>
      <w:r w:rsidRPr="00DB62C2">
        <w:rPr>
          <w:rFonts w:asciiTheme="majorHAnsi" w:hAnsiTheme="majorHAnsi" w:cstheme="majorHAnsi"/>
          <w:sz w:val="22"/>
          <w:szCs w:val="22"/>
          <w:lang w:val="en-AU"/>
        </w:rPr>
        <w:t xml:space="preserve"> improvement process known as </w:t>
      </w:r>
      <w:r w:rsidRPr="00DB62C2">
        <w:rPr>
          <w:rFonts w:asciiTheme="majorHAnsi" w:hAnsiTheme="majorHAnsi" w:cstheme="majorHAnsi"/>
          <w:i/>
          <w:sz w:val="22"/>
          <w:szCs w:val="22"/>
          <w:lang w:val="en-AU"/>
        </w:rPr>
        <w:t>Re-design</w:t>
      </w:r>
      <w:r w:rsidRPr="00DB62C2">
        <w:rPr>
          <w:rFonts w:asciiTheme="majorHAnsi" w:hAnsiTheme="majorHAnsi" w:cstheme="majorHAnsi"/>
          <w:sz w:val="22"/>
          <w:szCs w:val="22"/>
          <w:lang w:val="en-AU"/>
        </w:rPr>
        <w:t xml:space="preserve"> in 2017. This ensured for the first time a high level of accountability and governance to be provided by an Executive sponsor for the initiative. At the time when the Redesign plan was designed it was found that over 50% of food and drink offered at EH was in the </w:t>
      </w:r>
      <w:r w:rsidRPr="00DB62C2">
        <w:rPr>
          <w:rFonts w:asciiTheme="majorHAnsi" w:hAnsiTheme="majorHAnsi" w:cstheme="majorHAnsi"/>
          <w:color w:val="FF0000"/>
          <w:sz w:val="22"/>
          <w:szCs w:val="22"/>
          <w:lang w:val="en-AU"/>
        </w:rPr>
        <w:t xml:space="preserve">red </w:t>
      </w:r>
      <w:r w:rsidRPr="00DB62C2">
        <w:rPr>
          <w:rFonts w:asciiTheme="majorHAnsi" w:hAnsiTheme="majorHAnsi" w:cstheme="majorHAnsi"/>
          <w:sz w:val="22"/>
          <w:szCs w:val="22"/>
          <w:lang w:val="en-AU"/>
        </w:rPr>
        <w:t xml:space="preserve">category. Since then the Healthy Choices project group has been involved in a number of strategic interventions to reduce the availability of </w:t>
      </w:r>
      <w:r w:rsidRPr="00DB62C2">
        <w:rPr>
          <w:rFonts w:asciiTheme="majorHAnsi" w:hAnsiTheme="majorHAnsi" w:cstheme="majorHAnsi"/>
          <w:color w:val="FF0000"/>
          <w:sz w:val="22"/>
          <w:szCs w:val="22"/>
          <w:lang w:val="en-AU"/>
        </w:rPr>
        <w:t xml:space="preserve">red </w:t>
      </w:r>
      <w:r w:rsidRPr="00DB62C2">
        <w:rPr>
          <w:rFonts w:asciiTheme="majorHAnsi" w:hAnsiTheme="majorHAnsi" w:cstheme="majorHAnsi"/>
          <w:sz w:val="22"/>
          <w:szCs w:val="22"/>
          <w:lang w:val="en-AU"/>
        </w:rPr>
        <w:t xml:space="preserve">foods and drinks and to increase the availability of </w:t>
      </w:r>
      <w:r w:rsidRPr="00DB62C2">
        <w:rPr>
          <w:rFonts w:asciiTheme="majorHAnsi" w:hAnsiTheme="majorHAnsi" w:cstheme="majorHAnsi"/>
          <w:color w:val="00B050"/>
          <w:sz w:val="22"/>
          <w:szCs w:val="22"/>
          <w:lang w:val="en-AU"/>
        </w:rPr>
        <w:t xml:space="preserve">green </w:t>
      </w:r>
      <w:r w:rsidRPr="00DB62C2">
        <w:rPr>
          <w:rFonts w:asciiTheme="majorHAnsi" w:hAnsiTheme="majorHAnsi" w:cstheme="majorHAnsi"/>
          <w:sz w:val="22"/>
          <w:szCs w:val="22"/>
          <w:lang w:val="en-AU"/>
        </w:rPr>
        <w:t xml:space="preserve">foods and drinks.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b/>
          <w:sz w:val="22"/>
          <w:szCs w:val="22"/>
          <w:lang w:val="en-AU"/>
        </w:rPr>
      </w:pPr>
      <w:r w:rsidRPr="00DB62C2">
        <w:rPr>
          <w:rFonts w:asciiTheme="majorHAnsi" w:hAnsiTheme="majorHAnsi" w:cstheme="majorHAnsi"/>
          <w:b/>
          <w:sz w:val="22"/>
          <w:szCs w:val="22"/>
          <w:lang w:val="en-AU"/>
        </w:rPr>
        <w:t>Goal: By January 2020 less than 20% of the food items available for purchase at EH sites will be ‘</w:t>
      </w:r>
      <w:r w:rsidRPr="00DB62C2">
        <w:rPr>
          <w:rFonts w:asciiTheme="majorHAnsi" w:hAnsiTheme="majorHAnsi" w:cstheme="majorHAnsi"/>
          <w:b/>
          <w:color w:val="FF0000"/>
          <w:sz w:val="22"/>
          <w:szCs w:val="22"/>
          <w:lang w:val="en-AU"/>
        </w:rPr>
        <w:t xml:space="preserve">red’ </w:t>
      </w:r>
      <w:r w:rsidRPr="00DB62C2">
        <w:rPr>
          <w:rFonts w:asciiTheme="majorHAnsi" w:hAnsiTheme="majorHAnsi" w:cstheme="majorHAnsi"/>
          <w:b/>
          <w:sz w:val="22"/>
          <w:szCs w:val="22"/>
          <w:lang w:val="en-AU"/>
        </w:rPr>
        <w:t xml:space="preserve">items. </w:t>
      </w:r>
    </w:p>
    <w:p w:rsidR="00DB62C2" w:rsidRPr="00DB62C2" w:rsidRDefault="00DB62C2" w:rsidP="00DB62C2">
      <w:pPr>
        <w:rPr>
          <w:rFonts w:asciiTheme="majorHAnsi" w:hAnsiTheme="majorHAnsi" w:cstheme="majorHAnsi"/>
          <w:b/>
          <w:sz w:val="22"/>
          <w:szCs w:val="22"/>
          <w:lang w:val="en-AU"/>
        </w:rPr>
      </w:pPr>
    </w:p>
    <w:p w:rsidR="00DB62C2" w:rsidRPr="00DB62C2" w:rsidRDefault="00DB62C2" w:rsidP="00DB62C2">
      <w:pPr>
        <w:rPr>
          <w:rFonts w:asciiTheme="majorHAnsi" w:hAnsiTheme="majorHAnsi" w:cstheme="majorHAnsi"/>
          <w:b/>
          <w:sz w:val="22"/>
          <w:szCs w:val="22"/>
          <w:lang w:val="en-AU"/>
        </w:rPr>
      </w:pPr>
      <w:r w:rsidRPr="00DB62C2">
        <w:rPr>
          <w:rFonts w:asciiTheme="majorHAnsi" w:hAnsiTheme="majorHAnsi" w:cstheme="majorHAnsi"/>
          <w:b/>
          <w:sz w:val="22"/>
          <w:szCs w:val="22"/>
          <w:lang w:val="en-AU"/>
        </w:rPr>
        <w:t>Actions:</w:t>
      </w: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u w:val="single"/>
          <w:lang w:val="en-AU"/>
        </w:rPr>
        <w:t>Staff and visitor retail outlets</w:t>
      </w:r>
      <w:r w:rsidRPr="00DB62C2">
        <w:rPr>
          <w:rFonts w:asciiTheme="majorHAnsi" w:hAnsiTheme="majorHAnsi" w:cstheme="majorHAnsi"/>
          <w:sz w:val="22"/>
          <w:szCs w:val="22"/>
          <w:lang w:val="en-AU"/>
        </w:rPr>
        <w:t xml:space="preserve"> –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as our major retail provider, is a member of the Healthy Choices Project Group. As part of their representation they implemented a number of changes in four of their EH sites: the large café at Box Hill Hospital, the smaller café at 5 Arnold Street Box Hill, the café at Peter James Centre  and the cafe at Wantirna Health. The changes that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made included the following: Modifications to hot food recipes to increase the amount of vegetables and decrease the amount of added sugars, fats and salt, increases to the amount of cold food green and amber options available including sandwiches and sushi, a reduction of red sweets and snack options and a similar increase to the amount of green and amber sweets and snack foods, this included trialling new green and amber snack options and the introduction of healthy choices marketing material at these four sites. These changes lead to a decrease in the availability of red food and drink products as well as an increase in the availability of green items. </w:t>
      </w:r>
    </w:p>
    <w:p w:rsidR="00DB62C2" w:rsidRPr="00DB62C2" w:rsidRDefault="00DB62C2" w:rsidP="00DB62C2">
      <w:pPr>
        <w:rPr>
          <w:rFonts w:asciiTheme="majorHAnsi" w:hAnsiTheme="majorHAnsi" w:cstheme="majorHAnsi"/>
          <w:sz w:val="22"/>
          <w:szCs w:val="22"/>
          <w:lang w:val="en-AU"/>
        </w:rPr>
      </w:pPr>
    </w:p>
    <w:p w:rsidR="00DB62C2" w:rsidRDefault="00DB62C2" w:rsidP="00DB62C2">
      <w:pPr>
        <w:rPr>
          <w:rFonts w:asciiTheme="majorHAnsi" w:hAnsiTheme="majorHAnsi" w:cstheme="majorHAnsi"/>
          <w:b/>
          <w:sz w:val="22"/>
          <w:szCs w:val="22"/>
          <w:lang w:val="en-AU"/>
        </w:rPr>
      </w:pPr>
      <w:r>
        <w:rPr>
          <w:rFonts w:asciiTheme="majorHAnsi" w:hAnsiTheme="majorHAnsi" w:cstheme="majorHAnsi"/>
          <w:b/>
          <w:sz w:val="22"/>
          <w:szCs w:val="22"/>
          <w:lang w:val="en-AU"/>
        </w:rPr>
        <w:lastRenderedPageBreak/>
        <w:t>June 2018 spot audit results</w:t>
      </w: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BHH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Café – </w:t>
      </w:r>
      <w:r w:rsidRPr="00DB62C2">
        <w:rPr>
          <w:rFonts w:asciiTheme="majorHAnsi" w:hAnsiTheme="majorHAnsi" w:cstheme="majorHAnsi"/>
          <w:color w:val="00B050"/>
          <w:sz w:val="22"/>
          <w:szCs w:val="22"/>
          <w:lang w:val="en-AU"/>
        </w:rPr>
        <w:t>44% Green</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C000"/>
          <w:sz w:val="22"/>
          <w:szCs w:val="22"/>
          <w:lang w:val="en-AU"/>
        </w:rPr>
        <w:t>24% Amber</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0000"/>
          <w:sz w:val="22"/>
          <w:szCs w:val="22"/>
          <w:lang w:val="en-AU"/>
        </w:rPr>
        <w:t>32% Red</w:t>
      </w:r>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Arnold Street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Café – </w:t>
      </w:r>
      <w:r w:rsidRPr="00DB62C2">
        <w:rPr>
          <w:rFonts w:asciiTheme="majorHAnsi" w:hAnsiTheme="majorHAnsi" w:cstheme="majorHAnsi"/>
          <w:color w:val="00B050"/>
          <w:sz w:val="22"/>
          <w:szCs w:val="22"/>
          <w:lang w:val="en-AU"/>
        </w:rPr>
        <w:t>45% Green</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C000"/>
          <w:sz w:val="22"/>
          <w:szCs w:val="22"/>
          <w:lang w:val="en-AU"/>
        </w:rPr>
        <w:t>22% Amber</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0000"/>
          <w:sz w:val="22"/>
          <w:szCs w:val="22"/>
          <w:lang w:val="en-AU"/>
        </w:rPr>
        <w:t>32% Red.</w:t>
      </w: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Peter James Centre – </w:t>
      </w:r>
      <w:r w:rsidRPr="00DB62C2">
        <w:rPr>
          <w:rFonts w:asciiTheme="majorHAnsi" w:hAnsiTheme="majorHAnsi" w:cstheme="majorHAnsi"/>
          <w:color w:val="00B050"/>
          <w:sz w:val="22"/>
          <w:szCs w:val="22"/>
          <w:lang w:val="en-AU"/>
        </w:rPr>
        <w:t>51% Green</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C000"/>
          <w:sz w:val="22"/>
          <w:szCs w:val="22"/>
          <w:lang w:val="en-AU"/>
        </w:rPr>
        <w:t>20% Amber</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0000"/>
          <w:sz w:val="22"/>
          <w:szCs w:val="22"/>
          <w:lang w:val="en-AU"/>
        </w:rPr>
        <w:t>29% Red</w:t>
      </w:r>
      <w:r w:rsidRPr="00DB62C2">
        <w:rPr>
          <w:rFonts w:asciiTheme="majorHAnsi" w:hAnsiTheme="majorHAnsi" w:cstheme="majorHAnsi"/>
          <w:sz w:val="22"/>
          <w:szCs w:val="22"/>
          <w:lang w:val="en-AU"/>
        </w:rPr>
        <w:t>.</w:t>
      </w: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Wantirna Health – </w:t>
      </w:r>
      <w:r w:rsidRPr="00DB62C2">
        <w:rPr>
          <w:rFonts w:asciiTheme="majorHAnsi" w:hAnsiTheme="majorHAnsi" w:cstheme="majorHAnsi"/>
          <w:color w:val="00B050"/>
          <w:sz w:val="22"/>
          <w:szCs w:val="22"/>
          <w:lang w:val="en-AU"/>
        </w:rPr>
        <w:t>50% Green</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C000"/>
          <w:sz w:val="22"/>
          <w:szCs w:val="22"/>
          <w:lang w:val="en-AU"/>
        </w:rPr>
        <w:t>26% Amber</w:t>
      </w:r>
      <w:r w:rsidRPr="00DB62C2">
        <w:rPr>
          <w:rFonts w:asciiTheme="majorHAnsi" w:hAnsiTheme="majorHAnsi" w:cstheme="majorHAnsi"/>
          <w:sz w:val="22"/>
          <w:szCs w:val="22"/>
          <w:lang w:val="en-AU"/>
        </w:rPr>
        <w:t xml:space="preserve">, </w:t>
      </w:r>
      <w:r w:rsidRPr="00DB62C2">
        <w:rPr>
          <w:rFonts w:asciiTheme="majorHAnsi" w:hAnsiTheme="majorHAnsi" w:cstheme="majorHAnsi"/>
          <w:color w:val="FF0000"/>
          <w:sz w:val="22"/>
          <w:szCs w:val="22"/>
          <w:lang w:val="en-AU"/>
        </w:rPr>
        <w:t>24% Red</w:t>
      </w:r>
      <w:r w:rsidRPr="00DB62C2">
        <w:rPr>
          <w:rFonts w:asciiTheme="majorHAnsi" w:hAnsiTheme="majorHAnsi" w:cstheme="majorHAnsi"/>
          <w:sz w:val="22"/>
          <w:szCs w:val="22"/>
          <w:lang w:val="en-AU"/>
        </w:rPr>
        <w:t>.</w:t>
      </w:r>
    </w:p>
    <w:p w:rsidR="00DB62C2" w:rsidRPr="007840A5" w:rsidRDefault="00DB62C2" w:rsidP="00DB62C2">
      <w:pPr>
        <w:rPr>
          <w:rFonts w:asciiTheme="minorHAnsi" w:hAnsiTheme="minorHAnsi" w:cstheme="majorHAnsi"/>
          <w:sz w:val="22"/>
          <w:szCs w:val="22"/>
          <w:lang w:val="en-AU"/>
        </w:rPr>
      </w:pPr>
    </w:p>
    <w:p w:rsidR="00DB62C2" w:rsidRDefault="00DB62C2" w:rsidP="00DB62C2"/>
    <w:p w:rsidR="00DB62C2" w:rsidRDefault="00DB62C2" w:rsidP="00DB62C2">
      <w:r w:rsidRPr="00DB62C2">
        <w:rPr>
          <w:rFonts w:asciiTheme="majorHAnsi" w:hAnsiTheme="majorHAnsi" w:cstheme="majorHAnsi"/>
          <w:b/>
          <w:noProof/>
          <w:sz w:val="22"/>
          <w:szCs w:val="22"/>
          <w:lang w:val="en-AU" w:eastAsia="en-AU"/>
        </w:rPr>
        <w:drawing>
          <wp:anchor distT="0" distB="0" distL="114300" distR="114300" simplePos="0" relativeHeight="251662336" behindDoc="0" locked="0" layoutInCell="1" allowOverlap="1" wp14:anchorId="0319A9B8" wp14:editId="0A909837">
            <wp:simplePos x="0" y="0"/>
            <wp:positionH relativeFrom="column">
              <wp:posOffset>-19050</wp:posOffset>
            </wp:positionH>
            <wp:positionV relativeFrom="paragraph">
              <wp:posOffset>5715</wp:posOffset>
            </wp:positionV>
            <wp:extent cx="2400300" cy="17710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5 Arnold Street (1).jpg"/>
                    <pic:cNvPicPr/>
                  </pic:nvPicPr>
                  <pic:blipFill rotWithShape="1">
                    <a:blip r:embed="rId9" cstate="print">
                      <a:extLst>
                        <a:ext uri="{28A0092B-C50C-407E-A947-70E740481C1C}">
                          <a14:useLocalDpi xmlns:a14="http://schemas.microsoft.com/office/drawing/2010/main" val="0"/>
                        </a:ext>
                      </a:extLst>
                    </a:blip>
                    <a:srcRect l="5824" t="7321"/>
                    <a:stretch/>
                  </pic:blipFill>
                  <pic:spPr bwMode="auto">
                    <a:xfrm>
                      <a:off x="0" y="0"/>
                      <a:ext cx="2400300"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2C2">
        <w:rPr>
          <w:rFonts w:asciiTheme="majorHAnsi" w:hAnsiTheme="majorHAnsi" w:cstheme="majorHAnsi"/>
          <w:b/>
          <w:noProof/>
          <w:sz w:val="22"/>
          <w:szCs w:val="22"/>
          <w:lang w:val="en-AU" w:eastAsia="en-AU"/>
        </w:rPr>
        <w:drawing>
          <wp:anchor distT="0" distB="0" distL="114300" distR="114300" simplePos="0" relativeHeight="251663360" behindDoc="0" locked="0" layoutInCell="1" allowOverlap="1" wp14:anchorId="24339370" wp14:editId="69ABE915">
            <wp:simplePos x="0" y="0"/>
            <wp:positionH relativeFrom="column">
              <wp:posOffset>2914650</wp:posOffset>
            </wp:positionH>
            <wp:positionV relativeFrom="paragraph">
              <wp:posOffset>19685</wp:posOffset>
            </wp:positionV>
            <wp:extent cx="2390775" cy="17926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5 Arnold Stree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775" cy="1792605"/>
                    </a:xfrm>
                    <a:prstGeom prst="rect">
                      <a:avLst/>
                    </a:prstGeom>
                  </pic:spPr>
                </pic:pic>
              </a:graphicData>
            </a:graphic>
            <wp14:sizeRelH relativeFrom="page">
              <wp14:pctWidth>0</wp14:pctWidth>
            </wp14:sizeRelH>
            <wp14:sizeRelV relativeFrom="page">
              <wp14:pctHeight>0</wp14:pctHeight>
            </wp14:sizeRelV>
          </wp:anchor>
        </w:drawing>
      </w:r>
    </w:p>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p w:rsidR="00DB62C2" w:rsidRDefault="00DB62C2" w:rsidP="00DB62C2">
      <w:r>
        <w:rPr>
          <w:noProof/>
          <w:lang w:val="en-AU" w:eastAsia="en-AU"/>
        </w:rPr>
        <w:drawing>
          <wp:anchor distT="0" distB="0" distL="114300" distR="114300" simplePos="0" relativeHeight="251664384" behindDoc="0" locked="0" layoutInCell="1" allowOverlap="1" wp14:anchorId="5EEB5704" wp14:editId="05762CCB">
            <wp:simplePos x="0" y="0"/>
            <wp:positionH relativeFrom="column">
              <wp:posOffset>990600</wp:posOffset>
            </wp:positionH>
            <wp:positionV relativeFrom="paragraph">
              <wp:posOffset>86360</wp:posOffset>
            </wp:positionV>
            <wp:extent cx="3123565" cy="2608580"/>
            <wp:effectExtent l="0" t="0" r="63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tirna Zouki - Benjaming &amp; Erin.jpg"/>
                    <pic:cNvPicPr/>
                  </pic:nvPicPr>
                  <pic:blipFill rotWithShape="1">
                    <a:blip r:embed="rId11" cstate="print">
                      <a:extLst>
                        <a:ext uri="{28A0092B-C50C-407E-A947-70E740481C1C}">
                          <a14:useLocalDpi xmlns:a14="http://schemas.microsoft.com/office/drawing/2010/main" val="0"/>
                        </a:ext>
                      </a:extLst>
                    </a:blip>
                    <a:srcRect r="12184" b="2227"/>
                    <a:stretch/>
                  </pic:blipFill>
                  <pic:spPr bwMode="auto">
                    <a:xfrm>
                      <a:off x="0" y="0"/>
                      <a:ext cx="3123565" cy="260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2C2" w:rsidRDefault="00DB62C2" w:rsidP="00DB62C2"/>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Default="00DB62C2" w:rsidP="00DB62C2">
      <w:pPr>
        <w:rPr>
          <w:rFonts w:asciiTheme="minorHAnsi" w:hAnsiTheme="minorHAnsi"/>
          <w:sz w:val="22"/>
          <w:szCs w:val="22"/>
          <w:u w:val="single"/>
        </w:rPr>
      </w:pPr>
    </w:p>
    <w:p w:rsidR="00DB62C2" w:rsidRPr="00DB62C2" w:rsidRDefault="00DB62C2" w:rsidP="00DB62C2">
      <w:pPr>
        <w:rPr>
          <w:rFonts w:asciiTheme="majorHAnsi" w:hAnsiTheme="majorHAnsi" w:cs="Calibri"/>
          <w:sz w:val="22"/>
          <w:szCs w:val="22"/>
        </w:rPr>
      </w:pPr>
      <w:r w:rsidRPr="00DB62C2">
        <w:rPr>
          <w:rFonts w:asciiTheme="majorHAnsi" w:hAnsiTheme="majorHAnsi"/>
          <w:sz w:val="22"/>
          <w:szCs w:val="22"/>
          <w:u w:val="single"/>
        </w:rPr>
        <w:t xml:space="preserve">Vending Machines - </w:t>
      </w:r>
      <w:r w:rsidRPr="00DB62C2">
        <w:rPr>
          <w:rFonts w:asciiTheme="majorHAnsi" w:hAnsiTheme="majorHAnsi" w:cstheme="majorHAnsi"/>
          <w:sz w:val="22"/>
          <w:szCs w:val="22"/>
        </w:rPr>
        <w:t xml:space="preserve">The most visible increase was the change in supplier and subsequent rollover of vending machines to match the Healthy Choices guidelines in June and July 2017. In March 2016, EH Health Promotion identified the opportunity to introduce the Healthy Choices  guidelines into the vending machine contract which was under review by facilities management. EH had 38 vending machines at this time and they were managed by a range of different suppliers. At least 10 were managed by the EH Foundation. EH negotiated management of all vending machines with supplier </w:t>
      </w:r>
      <w:proofErr w:type="spellStart"/>
      <w:r w:rsidRPr="00DB62C2">
        <w:rPr>
          <w:rFonts w:asciiTheme="majorHAnsi" w:hAnsiTheme="majorHAnsi" w:cstheme="majorHAnsi"/>
          <w:sz w:val="22"/>
          <w:szCs w:val="22"/>
        </w:rPr>
        <w:t>Zouki</w:t>
      </w:r>
      <w:proofErr w:type="spellEnd"/>
      <w:r w:rsidRPr="00DB62C2">
        <w:rPr>
          <w:rFonts w:asciiTheme="majorHAnsi" w:hAnsiTheme="majorHAnsi" w:cstheme="majorHAnsi"/>
          <w:sz w:val="22"/>
          <w:szCs w:val="22"/>
        </w:rPr>
        <w:t xml:space="preserve"> over a six month period. EH Health Promotion asked the Nutrition Expert Advisory Committee (EAC) to provide assistance to the new vending contract. </w:t>
      </w:r>
      <w:r w:rsidRPr="00DB62C2">
        <w:rPr>
          <w:rFonts w:asciiTheme="majorHAnsi" w:hAnsiTheme="majorHAnsi" w:cs="Calibri"/>
          <w:sz w:val="22"/>
          <w:szCs w:val="22"/>
        </w:rPr>
        <w:t xml:space="preserve">This was an opportunistic adjustment that has resulted in a significant increase in the number of green and amber items available in our vending machines. The result of this change was measured in the October/November 2017 organization wide audit. The Healthy Choices Guidelines were embedded as an essential requirement into the vending contract in 2017.   </w:t>
      </w:r>
    </w:p>
    <w:p w:rsidR="00DB62C2" w:rsidRPr="00DB62C2" w:rsidRDefault="00DB62C2" w:rsidP="00DB62C2">
      <w:pPr>
        <w:pStyle w:val="NoSpacing"/>
        <w:rPr>
          <w:rFonts w:asciiTheme="majorHAnsi" w:hAnsiTheme="majorHAnsi" w:cstheme="majorHAnsi"/>
        </w:rPr>
      </w:pPr>
      <w:r w:rsidRPr="00DB62C2">
        <w:rPr>
          <w:rFonts w:asciiTheme="majorHAnsi" w:hAnsiTheme="majorHAnsi" w:cstheme="majorHAnsi"/>
        </w:rPr>
        <w:t xml:space="preserve"> </w:t>
      </w:r>
    </w:p>
    <w:p w:rsidR="00DB62C2" w:rsidRPr="00DB62C2" w:rsidRDefault="00DB62C2" w:rsidP="00DB62C2">
      <w:pPr>
        <w:rPr>
          <w:rFonts w:asciiTheme="majorHAnsi" w:hAnsiTheme="majorHAnsi"/>
          <w:sz w:val="22"/>
          <w:szCs w:val="22"/>
        </w:rPr>
      </w:pPr>
      <w:r w:rsidRPr="00DB62C2">
        <w:rPr>
          <w:rFonts w:asciiTheme="majorHAnsi" w:hAnsiTheme="majorHAnsi"/>
          <w:noProof/>
          <w:lang w:val="en-AU" w:eastAsia="en-AU"/>
        </w:rPr>
        <w:lastRenderedPageBreak/>
        <w:drawing>
          <wp:anchor distT="0" distB="0" distL="114300" distR="114300" simplePos="0" relativeHeight="251665408" behindDoc="0" locked="0" layoutInCell="1" allowOverlap="1" wp14:anchorId="023046C4" wp14:editId="11178A80">
            <wp:simplePos x="0" y="0"/>
            <wp:positionH relativeFrom="column">
              <wp:posOffset>1966595</wp:posOffset>
            </wp:positionH>
            <wp:positionV relativeFrom="paragraph">
              <wp:posOffset>-2540</wp:posOffset>
            </wp:positionV>
            <wp:extent cx="2618740" cy="3491230"/>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tte and the new vending mach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8740" cy="3491230"/>
                    </a:xfrm>
                    <a:prstGeom prst="rect">
                      <a:avLst/>
                    </a:prstGeom>
                  </pic:spPr>
                </pic:pic>
              </a:graphicData>
            </a:graphic>
            <wp14:sizeRelH relativeFrom="page">
              <wp14:pctWidth>0</wp14:pctWidth>
            </wp14:sizeRelH>
            <wp14:sizeRelV relativeFrom="page">
              <wp14:pctHeight>0</wp14:pctHeight>
            </wp14:sizeRelV>
          </wp:anchor>
        </w:drawing>
      </w: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rPr>
      </w:pPr>
    </w:p>
    <w:p w:rsidR="00DB62C2" w:rsidRPr="00DB62C2" w:rsidRDefault="00DB62C2" w:rsidP="00DB62C2">
      <w:pPr>
        <w:rPr>
          <w:rFonts w:asciiTheme="majorHAnsi" w:hAnsiTheme="majorHAnsi"/>
          <w:sz w:val="22"/>
          <w:szCs w:val="22"/>
          <w:u w:val="single"/>
        </w:rPr>
      </w:pPr>
    </w:p>
    <w:p w:rsidR="00DB62C2" w:rsidRPr="00DB62C2" w:rsidRDefault="00DB62C2" w:rsidP="00DB62C2">
      <w:pPr>
        <w:rPr>
          <w:rFonts w:asciiTheme="majorHAnsi" w:hAnsiTheme="majorHAnsi"/>
          <w:sz w:val="22"/>
          <w:szCs w:val="22"/>
        </w:rPr>
      </w:pPr>
      <w:r w:rsidRPr="00DB62C2">
        <w:rPr>
          <w:rFonts w:asciiTheme="majorHAnsi" w:hAnsiTheme="majorHAnsi"/>
          <w:sz w:val="22"/>
          <w:szCs w:val="22"/>
          <w:u w:val="single"/>
        </w:rPr>
        <w:t xml:space="preserve">Auxiliary Kiosks – </w:t>
      </w:r>
      <w:r w:rsidRPr="00DB62C2">
        <w:rPr>
          <w:rFonts w:asciiTheme="majorHAnsi" w:hAnsiTheme="majorHAnsi"/>
          <w:sz w:val="22"/>
          <w:szCs w:val="22"/>
        </w:rPr>
        <w:t xml:space="preserve">EH </w:t>
      </w:r>
      <w:r w:rsidRPr="00DB62C2">
        <w:rPr>
          <w:rFonts w:asciiTheme="majorHAnsi" w:hAnsiTheme="majorHAnsi" w:cstheme="majorHAnsi"/>
          <w:sz w:val="22"/>
          <w:szCs w:val="22"/>
        </w:rPr>
        <w:t xml:space="preserve">Health Promotion and Dietetics met with key staff and volunteers at the Box Hill Kiosk and members of the Maroondah Auxiliary Committee in 2016. Health Promotion gave an introductory presentation on the Healthy Choices Project. In November 2016 a training workshop was held with 10 volunteers to plan the way forward. The kiosks showed a willingness and keenness to work towards implementing the guidelines. Some initial changes with the kiosks have been undertaken including the rearranging of drinks in both Maroondah and Box Hill. Both kiosks have now reduced the amount of </w:t>
      </w:r>
      <w:r w:rsidRPr="00DB62C2">
        <w:rPr>
          <w:rFonts w:asciiTheme="majorHAnsi" w:hAnsiTheme="majorHAnsi" w:cstheme="majorHAnsi"/>
          <w:color w:val="FF0000"/>
          <w:sz w:val="22"/>
          <w:szCs w:val="22"/>
        </w:rPr>
        <w:t>red</w:t>
      </w:r>
      <w:r w:rsidRPr="00DB62C2">
        <w:rPr>
          <w:rFonts w:asciiTheme="majorHAnsi" w:hAnsiTheme="majorHAnsi" w:cstheme="majorHAnsi"/>
          <w:sz w:val="22"/>
          <w:szCs w:val="22"/>
        </w:rPr>
        <w:t xml:space="preserve"> sugary drinks and increased their varieties of </w:t>
      </w:r>
      <w:r w:rsidRPr="00DB62C2">
        <w:rPr>
          <w:rFonts w:asciiTheme="majorHAnsi" w:hAnsiTheme="majorHAnsi" w:cstheme="majorHAnsi"/>
          <w:color w:val="00B050"/>
          <w:sz w:val="22"/>
          <w:szCs w:val="22"/>
        </w:rPr>
        <w:t xml:space="preserve">green </w:t>
      </w:r>
      <w:r w:rsidRPr="00DB62C2">
        <w:rPr>
          <w:rFonts w:asciiTheme="majorHAnsi" w:hAnsiTheme="majorHAnsi" w:cstheme="majorHAnsi"/>
          <w:sz w:val="22"/>
          <w:szCs w:val="22"/>
        </w:rPr>
        <w:t xml:space="preserve">alternatives.  More detailed focus on both kiosks is planned in 2019 to match the changes that have already occurred in the 3 </w:t>
      </w:r>
      <w:proofErr w:type="spellStart"/>
      <w:r w:rsidRPr="00DB62C2">
        <w:rPr>
          <w:rFonts w:asciiTheme="majorHAnsi" w:hAnsiTheme="majorHAnsi" w:cstheme="majorHAnsi"/>
          <w:sz w:val="22"/>
          <w:szCs w:val="22"/>
        </w:rPr>
        <w:t>Zouki</w:t>
      </w:r>
      <w:proofErr w:type="spellEnd"/>
      <w:r w:rsidRPr="00DB62C2">
        <w:rPr>
          <w:rFonts w:asciiTheme="majorHAnsi" w:hAnsiTheme="majorHAnsi" w:cstheme="majorHAnsi"/>
          <w:sz w:val="22"/>
          <w:szCs w:val="22"/>
        </w:rPr>
        <w:t xml:space="preserve"> sites.</w:t>
      </w:r>
    </w:p>
    <w:p w:rsidR="00DB62C2" w:rsidRPr="00DB62C2" w:rsidRDefault="00DB62C2" w:rsidP="00DB62C2">
      <w:pPr>
        <w:ind w:firstLine="720"/>
        <w:rPr>
          <w:rFonts w:asciiTheme="majorHAnsi" w:hAnsiTheme="majorHAnsi"/>
          <w:sz w:val="22"/>
          <w:szCs w:val="22"/>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sz w:val="22"/>
          <w:szCs w:val="22"/>
          <w:u w:val="single"/>
        </w:rPr>
        <w:t xml:space="preserve">Eastern Health, healthy food and drink guideline – </w:t>
      </w:r>
      <w:r w:rsidRPr="00DB62C2">
        <w:rPr>
          <w:rFonts w:asciiTheme="majorHAnsi" w:hAnsiTheme="majorHAnsi"/>
          <w:sz w:val="22"/>
          <w:szCs w:val="22"/>
        </w:rPr>
        <w:t xml:space="preserve">Health Promotion obtained approval by the Nutrition EACH to develop </w:t>
      </w:r>
      <w:r w:rsidRPr="00DB62C2">
        <w:rPr>
          <w:rFonts w:asciiTheme="majorHAnsi" w:hAnsiTheme="majorHAnsi" w:cstheme="majorHAnsi"/>
          <w:sz w:val="22"/>
          <w:szCs w:val="22"/>
        </w:rPr>
        <w:t xml:space="preserve">a new practice guideline to implement healthy choices in 2016.  </w:t>
      </w:r>
      <w:r w:rsidRPr="00DB62C2">
        <w:rPr>
          <w:rFonts w:asciiTheme="majorHAnsi" w:hAnsiTheme="majorHAnsi" w:cstheme="majorHAnsi"/>
          <w:sz w:val="22"/>
          <w:szCs w:val="22"/>
          <w:lang w:val="en-AU"/>
        </w:rPr>
        <w:t xml:space="preserve">The final guideline </w:t>
      </w:r>
      <w:r w:rsidRPr="00DB62C2">
        <w:rPr>
          <w:rFonts w:asciiTheme="majorHAnsi" w:hAnsiTheme="majorHAnsi" w:cstheme="majorHAnsi"/>
          <w:sz w:val="22"/>
          <w:szCs w:val="22"/>
        </w:rPr>
        <w:t xml:space="preserve">was developed </w:t>
      </w:r>
      <w:proofErr w:type="spellStart"/>
      <w:r w:rsidRPr="00DB62C2">
        <w:rPr>
          <w:rFonts w:asciiTheme="majorHAnsi" w:hAnsiTheme="majorHAnsi" w:cstheme="majorHAnsi"/>
          <w:sz w:val="22"/>
          <w:szCs w:val="22"/>
        </w:rPr>
        <w:t>utilising</w:t>
      </w:r>
      <w:proofErr w:type="spellEnd"/>
      <w:r w:rsidRPr="00DB62C2">
        <w:rPr>
          <w:rFonts w:asciiTheme="majorHAnsi" w:hAnsiTheme="majorHAnsi" w:cstheme="majorHAnsi"/>
          <w:sz w:val="22"/>
          <w:szCs w:val="22"/>
        </w:rPr>
        <w:t xml:space="preserve"> best practice examples from the field nationally and was endorsed in 2018. The guideline covers the Victorian state recommendations for retail sites, vending machines and catering practices. It also includes considerations regarding fundraising and sponsorship agreements</w:t>
      </w:r>
      <w:r w:rsidRPr="00DB62C2">
        <w:rPr>
          <w:rFonts w:asciiTheme="majorHAnsi" w:hAnsiTheme="majorHAnsi" w:cstheme="majorHAnsi"/>
          <w:sz w:val="22"/>
          <w:szCs w:val="22"/>
          <w:lang w:val="en-AU"/>
        </w:rPr>
        <w:t xml:space="preserve"> It is now an endorsed EH organisational guideline and is scheduled to undergo its first review in February 2021.</w:t>
      </w:r>
    </w:p>
    <w:p w:rsidR="00DB62C2" w:rsidRDefault="00DB62C2" w:rsidP="00DB62C2">
      <w:pPr>
        <w:rPr>
          <w:rFonts w:asciiTheme="minorHAnsi" w:hAnsiTheme="min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To coincide with the implementation of this guideline EH Health Promotion and EH Communications team, with the aid of Public Health Nutrition students developed and delivered a detailed communications initiative. This was to inform staff members of the changes that had occurred at the 3 retail sites and the vending machines. Training was also delivered to staff members who regularly order catering.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
    <w:p w:rsidR="00DB62C2" w:rsidRDefault="00DB62C2" w:rsidP="00DB62C2">
      <w:pPr>
        <w:jc w:val="center"/>
        <w:rPr>
          <w:rFonts w:asciiTheme="majorHAnsi" w:hAnsiTheme="majorHAnsi" w:cstheme="majorHAnsi"/>
          <w:b/>
          <w:sz w:val="22"/>
          <w:szCs w:val="22"/>
          <w:lang w:val="en-AU"/>
        </w:rPr>
      </w:pPr>
    </w:p>
    <w:p w:rsidR="00DB62C2" w:rsidRDefault="00DB62C2" w:rsidP="00DB62C2">
      <w:pPr>
        <w:jc w:val="center"/>
        <w:rPr>
          <w:rFonts w:asciiTheme="majorHAnsi" w:hAnsiTheme="majorHAnsi" w:cstheme="majorHAnsi"/>
          <w:b/>
          <w:sz w:val="22"/>
          <w:szCs w:val="22"/>
          <w:lang w:val="en-AU"/>
        </w:rPr>
      </w:pPr>
    </w:p>
    <w:p w:rsidR="00DB62C2" w:rsidRDefault="00DB62C2" w:rsidP="00DB62C2">
      <w:pPr>
        <w:jc w:val="center"/>
        <w:rPr>
          <w:rFonts w:asciiTheme="majorHAnsi" w:hAnsiTheme="majorHAnsi" w:cstheme="majorHAnsi"/>
          <w:b/>
          <w:sz w:val="22"/>
          <w:szCs w:val="22"/>
          <w:lang w:val="en-AU"/>
        </w:rPr>
      </w:pPr>
    </w:p>
    <w:p w:rsidR="00DB62C2" w:rsidRDefault="00DB62C2" w:rsidP="00DB62C2">
      <w:pPr>
        <w:jc w:val="center"/>
        <w:rPr>
          <w:rFonts w:asciiTheme="majorHAnsi" w:hAnsiTheme="majorHAnsi" w:cstheme="majorHAnsi"/>
          <w:b/>
          <w:sz w:val="22"/>
          <w:szCs w:val="22"/>
          <w:lang w:val="en-AU"/>
        </w:rPr>
      </w:pPr>
    </w:p>
    <w:p w:rsidR="00DB62C2" w:rsidRDefault="00DB62C2" w:rsidP="00DB62C2">
      <w:pPr>
        <w:jc w:val="center"/>
        <w:rPr>
          <w:rFonts w:asciiTheme="majorHAnsi" w:hAnsiTheme="majorHAnsi" w:cstheme="majorHAnsi"/>
          <w:b/>
          <w:sz w:val="22"/>
          <w:szCs w:val="22"/>
          <w:lang w:val="en-AU"/>
        </w:rPr>
      </w:pPr>
    </w:p>
    <w:p w:rsidR="00DB62C2" w:rsidRPr="00DB62C2" w:rsidRDefault="00DB62C2" w:rsidP="00DB62C2">
      <w:pPr>
        <w:jc w:val="center"/>
        <w:rPr>
          <w:rFonts w:asciiTheme="majorHAnsi" w:hAnsiTheme="majorHAnsi" w:cstheme="majorHAnsi"/>
          <w:b/>
          <w:sz w:val="22"/>
          <w:szCs w:val="22"/>
          <w:lang w:val="en-AU"/>
        </w:rPr>
      </w:pPr>
      <w:r w:rsidRPr="00DB62C2">
        <w:rPr>
          <w:rFonts w:asciiTheme="majorHAnsi" w:hAnsiTheme="majorHAnsi" w:cstheme="majorHAnsi"/>
          <w:b/>
          <w:sz w:val="22"/>
          <w:szCs w:val="22"/>
          <w:lang w:val="en-AU"/>
        </w:rPr>
        <w:lastRenderedPageBreak/>
        <w:t>Discussion</w:t>
      </w:r>
    </w:p>
    <w:p w:rsidR="00DB62C2" w:rsidRPr="00DB62C2" w:rsidRDefault="00DB62C2" w:rsidP="00DB62C2">
      <w:pPr>
        <w:jc w:val="center"/>
        <w:rPr>
          <w:rFonts w:asciiTheme="majorHAnsi" w:hAnsiTheme="majorHAnsi" w:cstheme="majorHAnsi"/>
          <w:b/>
          <w:sz w:val="22"/>
          <w:szCs w:val="22"/>
          <w:lang w:val="en-AU"/>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The HC Project Group at EH has achieved significant outcomes throughout the project’s journey to date. The endorsement and introduction of the Healthy Choices, food and drink guideline signifies the continued efforts and resources EH are placing into this project. It also aligns the HC initiative with EH leadership and has established a system of reporting and accountability. Another highlight has been the significant changes made to the physical environment across EH sites. All vending machines at EH are now offering a range of drinks and snacks which comply with the </w:t>
      </w:r>
      <w:r w:rsidRPr="00DB62C2">
        <w:rPr>
          <w:rFonts w:asciiTheme="majorHAnsi" w:hAnsiTheme="majorHAnsi" w:cstheme="majorHAnsi"/>
          <w:color w:val="00B050"/>
          <w:sz w:val="22"/>
          <w:szCs w:val="22"/>
          <w:lang w:val="en-AU"/>
        </w:rPr>
        <w:t>50</w:t>
      </w:r>
      <w:r w:rsidRPr="00DB62C2">
        <w:rPr>
          <w:rFonts w:asciiTheme="majorHAnsi" w:hAnsiTheme="majorHAnsi" w:cstheme="majorHAnsi"/>
          <w:sz w:val="22"/>
          <w:szCs w:val="22"/>
          <w:lang w:val="en-AU"/>
        </w:rPr>
        <w:t>:</w:t>
      </w:r>
      <w:r w:rsidRPr="00DB62C2">
        <w:rPr>
          <w:rFonts w:asciiTheme="majorHAnsi" w:hAnsiTheme="majorHAnsi" w:cstheme="majorHAnsi"/>
          <w:color w:val="FFC000"/>
          <w:sz w:val="22"/>
          <w:szCs w:val="22"/>
          <w:lang w:val="en-AU"/>
        </w:rPr>
        <w:t>30</w:t>
      </w:r>
      <w:r w:rsidRPr="00DB62C2">
        <w:rPr>
          <w:rFonts w:asciiTheme="majorHAnsi" w:hAnsiTheme="majorHAnsi" w:cstheme="majorHAnsi"/>
          <w:sz w:val="22"/>
          <w:szCs w:val="22"/>
          <w:lang w:val="en-AU"/>
        </w:rPr>
        <w:t>:</w:t>
      </w:r>
      <w:r w:rsidRPr="00DB62C2">
        <w:rPr>
          <w:rFonts w:asciiTheme="majorHAnsi" w:hAnsiTheme="majorHAnsi" w:cstheme="majorHAnsi"/>
          <w:color w:val="FF0000"/>
          <w:sz w:val="22"/>
          <w:szCs w:val="22"/>
          <w:lang w:val="en-AU"/>
        </w:rPr>
        <w:t xml:space="preserve">20 </w:t>
      </w:r>
      <w:r w:rsidRPr="00DB62C2">
        <w:rPr>
          <w:rFonts w:asciiTheme="majorHAnsi" w:hAnsiTheme="majorHAnsi" w:cstheme="majorHAnsi"/>
          <w:sz w:val="22"/>
          <w:szCs w:val="22"/>
          <w:lang w:val="en-AU"/>
        </w:rPr>
        <w:t>recommendations. As part of the changeover of the vending machines the HC guidelines were embedded into the contract. This will ensure the sustainability of these changes into the future.</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Similar progress has been made by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in their two Box Hill cafes, Peter James Centre cafe and the Wantirna Health café. This change stemmed from a strong partnership between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Nutrition Australia and EH. Alongside these changes Nutrition Australia installed HC collateral obtained from HEAS at both Box Hill sites and the Wantirna site. This collateral was funded by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through their partnership with Nutrition Australia. A large increase in the amount of </w:t>
      </w:r>
      <w:r w:rsidRPr="00DB62C2">
        <w:rPr>
          <w:rFonts w:asciiTheme="majorHAnsi" w:hAnsiTheme="majorHAnsi" w:cstheme="majorHAnsi"/>
          <w:color w:val="00B050"/>
          <w:sz w:val="22"/>
          <w:szCs w:val="22"/>
          <w:lang w:val="en-AU"/>
        </w:rPr>
        <w:t xml:space="preserve">green </w:t>
      </w:r>
      <w:r w:rsidRPr="00DB62C2">
        <w:rPr>
          <w:rFonts w:asciiTheme="majorHAnsi" w:hAnsiTheme="majorHAnsi" w:cstheme="majorHAnsi"/>
          <w:sz w:val="22"/>
          <w:szCs w:val="22"/>
          <w:lang w:val="en-AU"/>
        </w:rPr>
        <w:t xml:space="preserve">options and a large decrease in the amount of </w:t>
      </w:r>
      <w:r w:rsidRPr="00DB62C2">
        <w:rPr>
          <w:rFonts w:asciiTheme="majorHAnsi" w:hAnsiTheme="majorHAnsi" w:cstheme="majorHAnsi"/>
          <w:color w:val="FF0000"/>
          <w:sz w:val="22"/>
          <w:szCs w:val="22"/>
          <w:lang w:val="en-AU"/>
        </w:rPr>
        <w:t xml:space="preserve">red </w:t>
      </w:r>
      <w:r w:rsidRPr="00DB62C2">
        <w:rPr>
          <w:rFonts w:asciiTheme="majorHAnsi" w:hAnsiTheme="majorHAnsi" w:cstheme="majorHAnsi"/>
          <w:sz w:val="22"/>
          <w:szCs w:val="22"/>
          <w:lang w:val="en-AU"/>
        </w:rPr>
        <w:t xml:space="preserve">options has been the result of these changes. These changes were found to be just shy of the state recommendations of </w:t>
      </w:r>
      <w:r w:rsidRPr="00DB62C2">
        <w:rPr>
          <w:rFonts w:asciiTheme="majorHAnsi" w:hAnsiTheme="majorHAnsi" w:cstheme="majorHAnsi"/>
          <w:color w:val="00B050"/>
          <w:sz w:val="22"/>
          <w:szCs w:val="22"/>
          <w:lang w:val="en-AU"/>
        </w:rPr>
        <w:t>50</w:t>
      </w:r>
      <w:r w:rsidRPr="00DB62C2">
        <w:rPr>
          <w:rFonts w:asciiTheme="majorHAnsi" w:hAnsiTheme="majorHAnsi" w:cstheme="majorHAnsi"/>
          <w:sz w:val="22"/>
          <w:szCs w:val="22"/>
          <w:lang w:val="en-AU"/>
        </w:rPr>
        <w:t>:</w:t>
      </w:r>
      <w:r w:rsidRPr="00DB62C2">
        <w:rPr>
          <w:rFonts w:asciiTheme="majorHAnsi" w:hAnsiTheme="majorHAnsi" w:cstheme="majorHAnsi"/>
          <w:color w:val="FFC000"/>
          <w:sz w:val="22"/>
          <w:szCs w:val="22"/>
          <w:lang w:val="en-AU"/>
        </w:rPr>
        <w:t>30</w:t>
      </w:r>
      <w:r w:rsidRPr="00DB62C2">
        <w:rPr>
          <w:rFonts w:asciiTheme="majorHAnsi" w:hAnsiTheme="majorHAnsi" w:cstheme="majorHAnsi"/>
          <w:sz w:val="22"/>
          <w:szCs w:val="22"/>
          <w:lang w:val="en-AU"/>
        </w:rPr>
        <w:t>:</w:t>
      </w:r>
      <w:r w:rsidRPr="00DB62C2">
        <w:rPr>
          <w:rFonts w:asciiTheme="majorHAnsi" w:hAnsiTheme="majorHAnsi" w:cstheme="majorHAnsi"/>
          <w:color w:val="FF0000"/>
          <w:sz w:val="22"/>
          <w:szCs w:val="22"/>
          <w:lang w:val="en-AU"/>
        </w:rPr>
        <w:t>20</w:t>
      </w:r>
      <w:r w:rsidRPr="00DB62C2">
        <w:rPr>
          <w:rFonts w:asciiTheme="majorHAnsi" w:hAnsiTheme="majorHAnsi" w:cstheme="majorHAnsi"/>
          <w:sz w:val="22"/>
          <w:szCs w:val="22"/>
          <w:lang w:val="en-AU"/>
        </w:rPr>
        <w:t xml:space="preserve">, meaning there is still work to be done. The intention of the HC Project Group and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is to roll out these changes across all sites moving into 2019. To coincide with this roll out the Health Promotion team will continue to work with the two auxiliary kiosks to implement the HC changes and move them closer towards the state government recommendations.</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Moving forward EH still has some work to do to ensure that the positive changes made throughout the HC initiative are sustained. The project team will continue to work with </w:t>
      </w:r>
      <w:proofErr w:type="spellStart"/>
      <w:r w:rsidRPr="00DB62C2">
        <w:rPr>
          <w:rFonts w:asciiTheme="majorHAnsi" w:hAnsiTheme="majorHAnsi" w:cstheme="majorHAnsi"/>
          <w:sz w:val="22"/>
          <w:szCs w:val="22"/>
          <w:lang w:val="en-AU"/>
        </w:rPr>
        <w:t>Zouki</w:t>
      </w:r>
      <w:proofErr w:type="spellEnd"/>
      <w:r w:rsidRPr="00DB62C2">
        <w:rPr>
          <w:rFonts w:asciiTheme="majorHAnsi" w:hAnsiTheme="majorHAnsi" w:cstheme="majorHAnsi"/>
          <w:sz w:val="22"/>
          <w:szCs w:val="22"/>
          <w:lang w:val="en-AU"/>
        </w:rPr>
        <w:t xml:space="preserve"> to ensure the roll out across all sites. Annual auditing of all retail and vending sites will be undertaken over the next few years for compliance purposes. Planning for sustained change and integration of the Healthy Choices project into an existing EH structure also must take place. EH are working towards applying for recognition from the state government for the Healthy Choices work as part of their commitment to the Achievement Program. Eastern Health </w:t>
      </w:r>
      <w:proofErr w:type="gramStart"/>
      <w:r w:rsidRPr="00DB62C2">
        <w:rPr>
          <w:rFonts w:asciiTheme="majorHAnsi" w:hAnsiTheme="majorHAnsi" w:cstheme="majorHAnsi"/>
          <w:sz w:val="22"/>
          <w:szCs w:val="22"/>
          <w:lang w:val="en-AU"/>
        </w:rPr>
        <w:t>are</w:t>
      </w:r>
      <w:proofErr w:type="gramEnd"/>
      <w:r w:rsidRPr="00DB62C2">
        <w:rPr>
          <w:rFonts w:asciiTheme="majorHAnsi" w:hAnsiTheme="majorHAnsi" w:cstheme="majorHAnsi"/>
          <w:sz w:val="22"/>
          <w:szCs w:val="22"/>
          <w:lang w:val="en-AU"/>
        </w:rPr>
        <w:t xml:space="preserve"> committed to promoting healthy eating as part of their overall commitment to staff wellbeing at Eastern Health. </w:t>
      </w:r>
    </w:p>
    <w:p w:rsidR="00DB62C2" w:rsidRPr="00DB62C2" w:rsidRDefault="00DB62C2" w:rsidP="00DB62C2">
      <w:pPr>
        <w:rPr>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ins w:id="1" w:author="Brewin, Benjamin" w:date="2019-03-14T09:32:00Z"/>
          <w:rFonts w:asciiTheme="majorHAnsi" w:hAnsiTheme="majorHAnsi" w:cstheme="majorHAnsi"/>
          <w:sz w:val="22"/>
          <w:szCs w:val="22"/>
          <w:lang w:val="en-AU"/>
        </w:rPr>
      </w:pPr>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pStyle w:val="NoSpacing"/>
        <w:rPr>
          <w:rFonts w:asciiTheme="majorHAnsi" w:hAnsiTheme="majorHAnsi" w:cstheme="majorHAnsi"/>
        </w:rPr>
      </w:pPr>
    </w:p>
    <w:p w:rsidR="00DB62C2" w:rsidRPr="00DB62C2" w:rsidRDefault="00DB62C2" w:rsidP="00DB62C2">
      <w:pPr>
        <w:rPr>
          <w:rFonts w:asciiTheme="majorHAnsi" w:hAnsiTheme="majorHAnsi"/>
          <w:b/>
          <w:sz w:val="22"/>
          <w:szCs w:val="22"/>
        </w:rPr>
      </w:pPr>
    </w:p>
    <w:p w:rsidR="00DB62C2" w:rsidRPr="00DB62C2" w:rsidRDefault="00DB62C2" w:rsidP="00DB62C2">
      <w:pPr>
        <w:rPr>
          <w:rFonts w:asciiTheme="majorHAnsi" w:hAnsiTheme="majorHAnsi"/>
          <w:b/>
          <w:sz w:val="22"/>
          <w:szCs w:val="22"/>
        </w:rPr>
      </w:pPr>
    </w:p>
    <w:p w:rsidR="00DB62C2" w:rsidRP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Default="00DB62C2" w:rsidP="00DB62C2">
      <w:pPr>
        <w:rPr>
          <w:rFonts w:asciiTheme="majorHAnsi" w:hAnsiTheme="majorHAnsi"/>
          <w:b/>
          <w:sz w:val="22"/>
          <w:szCs w:val="22"/>
        </w:rPr>
      </w:pPr>
    </w:p>
    <w:p w:rsidR="00DB62C2" w:rsidRPr="00DB62C2" w:rsidRDefault="00DB62C2" w:rsidP="00DB62C2">
      <w:pPr>
        <w:rPr>
          <w:rFonts w:asciiTheme="majorHAnsi" w:hAnsiTheme="majorHAnsi"/>
          <w:b/>
          <w:sz w:val="22"/>
          <w:szCs w:val="22"/>
        </w:rPr>
      </w:pPr>
      <w:r w:rsidRPr="00DB62C2">
        <w:rPr>
          <w:rFonts w:asciiTheme="majorHAnsi" w:hAnsiTheme="majorHAnsi"/>
          <w:b/>
          <w:sz w:val="22"/>
          <w:szCs w:val="22"/>
        </w:rPr>
        <w:lastRenderedPageBreak/>
        <w:t>References:</w:t>
      </w:r>
    </w:p>
    <w:p w:rsidR="00DB62C2" w:rsidRDefault="00DB62C2" w:rsidP="00DB62C2">
      <w:pPr>
        <w:rPr>
          <w:rFonts w:asciiTheme="minorHAnsi" w:hAnsiTheme="minorHAnsi"/>
          <w:b/>
          <w:sz w:val="22"/>
          <w:szCs w:val="22"/>
        </w:rPr>
      </w:pPr>
    </w:p>
    <w:p w:rsidR="00DB62C2" w:rsidRPr="00DB62C2" w:rsidRDefault="00DB62C2" w:rsidP="00DB62C2">
      <w:pPr>
        <w:rPr>
          <w:rFonts w:asciiTheme="majorHAnsi" w:hAnsiTheme="majorHAnsi" w:cstheme="majorHAnsi"/>
          <w:sz w:val="22"/>
          <w:szCs w:val="22"/>
          <w:lang w:val="en-AU"/>
        </w:rPr>
      </w:pPr>
      <w:proofErr w:type="gramStart"/>
      <w:r w:rsidRPr="00DB62C2">
        <w:rPr>
          <w:rFonts w:asciiTheme="majorHAnsi" w:hAnsiTheme="majorHAnsi" w:cstheme="majorHAnsi"/>
          <w:sz w:val="22"/>
          <w:szCs w:val="22"/>
          <w:lang w:val="en-AU"/>
        </w:rPr>
        <w:t>Chronic Disease.</w:t>
      </w:r>
      <w:proofErr w:type="gramEnd"/>
      <w:r w:rsidRPr="00DB62C2">
        <w:rPr>
          <w:rFonts w:asciiTheme="majorHAnsi" w:hAnsiTheme="majorHAnsi" w:cstheme="majorHAnsi"/>
          <w:sz w:val="22"/>
          <w:szCs w:val="22"/>
          <w:lang w:val="en-AU"/>
        </w:rPr>
        <w:t xml:space="preserve"> </w:t>
      </w:r>
      <w:proofErr w:type="gramStart"/>
      <w:r w:rsidRPr="00DB62C2">
        <w:rPr>
          <w:rFonts w:asciiTheme="majorHAnsi" w:hAnsiTheme="majorHAnsi" w:cstheme="majorHAnsi"/>
          <w:i/>
          <w:sz w:val="22"/>
          <w:szCs w:val="22"/>
          <w:lang w:val="en-AU"/>
        </w:rPr>
        <w:t>Australian Institute of Health and Welfare.</w:t>
      </w:r>
      <w:proofErr w:type="gramEnd"/>
      <w:r w:rsidRPr="00DB62C2">
        <w:rPr>
          <w:rFonts w:asciiTheme="majorHAnsi" w:hAnsiTheme="majorHAnsi" w:cstheme="majorHAnsi"/>
          <w:i/>
          <w:sz w:val="22"/>
          <w:szCs w:val="22"/>
          <w:lang w:val="en-AU"/>
        </w:rPr>
        <w:t xml:space="preserve"> </w:t>
      </w:r>
      <w:r w:rsidRPr="00DB62C2">
        <w:rPr>
          <w:rFonts w:asciiTheme="majorHAnsi" w:hAnsiTheme="majorHAnsi" w:cstheme="majorHAnsi"/>
          <w:sz w:val="22"/>
          <w:szCs w:val="22"/>
          <w:lang w:val="en-AU"/>
        </w:rPr>
        <w:t xml:space="preserve">18/01/2018. Available at: </w:t>
      </w:r>
      <w:hyperlink r:id="rId13" w:history="1">
        <w:r w:rsidRPr="00DB62C2">
          <w:rPr>
            <w:rStyle w:val="Hyperlink"/>
            <w:rFonts w:asciiTheme="majorHAnsi" w:hAnsiTheme="majorHAnsi" w:cstheme="majorHAnsi"/>
            <w:sz w:val="22"/>
            <w:szCs w:val="22"/>
            <w:lang w:val="en-AU"/>
          </w:rPr>
          <w:t>https://www.aihw.gov.au/reports-statistics/health-conditions-disability-deaths/chronic-disease/overview</w:t>
        </w:r>
      </w:hyperlink>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roofErr w:type="gramStart"/>
      <w:r w:rsidRPr="00DB62C2">
        <w:rPr>
          <w:rFonts w:asciiTheme="majorHAnsi" w:hAnsiTheme="majorHAnsi" w:cstheme="majorHAnsi"/>
          <w:sz w:val="22"/>
          <w:szCs w:val="22"/>
          <w:lang w:val="en-AU"/>
        </w:rPr>
        <w:t>Health and Wellbeing status of Victoria.</w:t>
      </w:r>
      <w:proofErr w:type="gramEnd"/>
      <w:r w:rsidRPr="00DB62C2">
        <w:rPr>
          <w:rFonts w:asciiTheme="majorHAnsi" w:hAnsiTheme="majorHAnsi" w:cstheme="majorHAnsi"/>
          <w:sz w:val="22"/>
          <w:szCs w:val="22"/>
          <w:lang w:val="en-AU"/>
        </w:rPr>
        <w:t xml:space="preserve"> </w:t>
      </w:r>
      <w:r w:rsidRPr="00DB62C2">
        <w:rPr>
          <w:rFonts w:asciiTheme="majorHAnsi" w:hAnsiTheme="majorHAnsi" w:cstheme="majorHAnsi"/>
          <w:i/>
          <w:sz w:val="22"/>
          <w:szCs w:val="22"/>
          <w:lang w:val="en-AU"/>
        </w:rPr>
        <w:t xml:space="preserve">Victorian public health and wellbeing plan 2015-2019 companion </w:t>
      </w:r>
      <w:proofErr w:type="gramStart"/>
      <w:r w:rsidRPr="00DB62C2">
        <w:rPr>
          <w:rFonts w:asciiTheme="majorHAnsi" w:hAnsiTheme="majorHAnsi" w:cstheme="majorHAnsi"/>
          <w:i/>
          <w:sz w:val="22"/>
          <w:szCs w:val="22"/>
          <w:lang w:val="en-AU"/>
        </w:rPr>
        <w:t>document</w:t>
      </w:r>
      <w:proofErr w:type="gramEnd"/>
      <w:r w:rsidRPr="00DB62C2">
        <w:rPr>
          <w:rFonts w:asciiTheme="majorHAnsi" w:hAnsiTheme="majorHAnsi" w:cstheme="majorHAnsi"/>
          <w:i/>
          <w:sz w:val="22"/>
          <w:szCs w:val="22"/>
          <w:lang w:val="en-AU"/>
        </w:rPr>
        <w:t xml:space="preserve">. </w:t>
      </w:r>
      <w:r w:rsidRPr="00DB62C2">
        <w:rPr>
          <w:rFonts w:asciiTheme="majorHAnsi" w:hAnsiTheme="majorHAnsi" w:cstheme="majorHAnsi"/>
          <w:sz w:val="22"/>
          <w:szCs w:val="22"/>
          <w:lang w:val="en-AU"/>
        </w:rPr>
        <w:t>2015.</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roofErr w:type="gramStart"/>
      <w:r w:rsidRPr="00DB62C2">
        <w:rPr>
          <w:rFonts w:asciiTheme="majorHAnsi" w:hAnsiTheme="majorHAnsi" w:cstheme="majorHAnsi"/>
          <w:sz w:val="22"/>
          <w:szCs w:val="22"/>
          <w:lang w:val="en-AU"/>
        </w:rPr>
        <w:t>A picture of overweight and obesity in Australia.</w:t>
      </w:r>
      <w:proofErr w:type="gramEnd"/>
      <w:r w:rsidRPr="00DB62C2">
        <w:rPr>
          <w:rFonts w:asciiTheme="majorHAnsi" w:hAnsiTheme="majorHAnsi" w:cstheme="majorHAnsi"/>
          <w:sz w:val="22"/>
          <w:szCs w:val="22"/>
          <w:lang w:val="en-AU"/>
        </w:rPr>
        <w:t xml:space="preserve"> </w:t>
      </w:r>
      <w:proofErr w:type="gramStart"/>
      <w:r w:rsidRPr="00DB62C2">
        <w:rPr>
          <w:rFonts w:asciiTheme="majorHAnsi" w:hAnsiTheme="majorHAnsi" w:cstheme="majorHAnsi"/>
          <w:i/>
          <w:sz w:val="22"/>
          <w:szCs w:val="22"/>
          <w:lang w:val="en-AU"/>
        </w:rPr>
        <w:t>Australian Institute of Health and Welfare.</w:t>
      </w:r>
      <w:proofErr w:type="gramEnd"/>
      <w:r w:rsidRPr="00DB62C2">
        <w:rPr>
          <w:rFonts w:asciiTheme="majorHAnsi" w:hAnsiTheme="majorHAnsi" w:cstheme="majorHAnsi"/>
          <w:i/>
          <w:sz w:val="22"/>
          <w:szCs w:val="22"/>
          <w:lang w:val="en-AU"/>
        </w:rPr>
        <w:t xml:space="preserve"> </w:t>
      </w:r>
      <w:r w:rsidRPr="00DB62C2">
        <w:rPr>
          <w:rFonts w:asciiTheme="majorHAnsi" w:hAnsiTheme="majorHAnsi" w:cstheme="majorHAnsi"/>
          <w:sz w:val="22"/>
          <w:szCs w:val="22"/>
          <w:lang w:val="en-AU"/>
        </w:rPr>
        <w:t xml:space="preserve">2017. Available at: </w:t>
      </w:r>
      <w:hyperlink r:id="rId14" w:history="1">
        <w:r w:rsidRPr="00DB62C2">
          <w:rPr>
            <w:rStyle w:val="Hyperlink"/>
            <w:rFonts w:asciiTheme="majorHAnsi" w:hAnsiTheme="majorHAnsi" w:cstheme="majorHAnsi"/>
            <w:sz w:val="22"/>
            <w:szCs w:val="22"/>
            <w:lang w:val="en-AU"/>
          </w:rPr>
          <w:t>https://www.aihw.gov.au/getmedia/172fba28-785e-4a08-ab37-2da3bbae40b8/aihw-phe-216.pdf.aspx?inline=true</w:t>
        </w:r>
      </w:hyperlink>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roofErr w:type="gramStart"/>
      <w:r w:rsidRPr="00DB62C2">
        <w:rPr>
          <w:rFonts w:asciiTheme="majorHAnsi" w:hAnsiTheme="majorHAnsi" w:cstheme="majorHAnsi"/>
          <w:sz w:val="22"/>
          <w:szCs w:val="22"/>
          <w:lang w:val="en-AU"/>
        </w:rPr>
        <w:t>Healthy Workplaces.</w:t>
      </w:r>
      <w:proofErr w:type="gramEnd"/>
      <w:r w:rsidRPr="00DB62C2">
        <w:rPr>
          <w:rFonts w:asciiTheme="majorHAnsi" w:hAnsiTheme="majorHAnsi" w:cstheme="majorHAnsi"/>
          <w:sz w:val="22"/>
          <w:szCs w:val="22"/>
          <w:lang w:val="en-AU"/>
        </w:rPr>
        <w:t xml:space="preserve"> </w:t>
      </w:r>
      <w:proofErr w:type="gramStart"/>
      <w:r w:rsidRPr="00DB62C2">
        <w:rPr>
          <w:rFonts w:asciiTheme="majorHAnsi" w:hAnsiTheme="majorHAnsi" w:cstheme="majorHAnsi"/>
          <w:i/>
          <w:sz w:val="22"/>
          <w:szCs w:val="22"/>
          <w:lang w:val="en-AU"/>
        </w:rPr>
        <w:t>Achievement Program.</w:t>
      </w:r>
      <w:proofErr w:type="gramEnd"/>
      <w:r w:rsidRPr="00DB62C2">
        <w:rPr>
          <w:rFonts w:asciiTheme="majorHAnsi" w:hAnsiTheme="majorHAnsi" w:cstheme="majorHAnsi"/>
          <w:sz w:val="22"/>
          <w:szCs w:val="22"/>
          <w:lang w:val="en-AU"/>
        </w:rPr>
        <w:t xml:space="preserve"> 2018. Available at: </w:t>
      </w:r>
      <w:hyperlink r:id="rId15" w:history="1">
        <w:r w:rsidRPr="00DB62C2">
          <w:rPr>
            <w:rStyle w:val="Hyperlink"/>
            <w:rFonts w:asciiTheme="majorHAnsi" w:hAnsiTheme="majorHAnsi" w:cstheme="majorHAnsi"/>
            <w:sz w:val="22"/>
            <w:szCs w:val="22"/>
            <w:lang w:val="en-AU"/>
          </w:rPr>
          <w:t>https://www.achievementprogram.health.vic.gov.au/healthy-places/workplaces</w:t>
        </w:r>
      </w:hyperlink>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roofErr w:type="gramStart"/>
      <w:r w:rsidRPr="00DB62C2">
        <w:rPr>
          <w:rFonts w:asciiTheme="majorHAnsi" w:hAnsiTheme="majorHAnsi" w:cstheme="majorHAnsi"/>
          <w:sz w:val="22"/>
          <w:szCs w:val="22"/>
          <w:lang w:val="en-AU"/>
        </w:rPr>
        <w:t>Healthy Choices Guidelines.</w:t>
      </w:r>
      <w:proofErr w:type="gramEnd"/>
      <w:r w:rsidRPr="00DB62C2">
        <w:rPr>
          <w:rFonts w:asciiTheme="majorHAnsi" w:hAnsiTheme="majorHAnsi" w:cstheme="majorHAnsi"/>
          <w:sz w:val="22"/>
          <w:szCs w:val="22"/>
          <w:lang w:val="en-AU"/>
        </w:rPr>
        <w:t xml:space="preserve"> </w:t>
      </w:r>
      <w:proofErr w:type="gramStart"/>
      <w:r w:rsidRPr="00DB62C2">
        <w:rPr>
          <w:rFonts w:asciiTheme="majorHAnsi" w:hAnsiTheme="majorHAnsi" w:cstheme="majorHAnsi"/>
          <w:i/>
          <w:sz w:val="22"/>
          <w:szCs w:val="22"/>
          <w:lang w:val="en-AU"/>
        </w:rPr>
        <w:t>Healthy Eating Advisory Service.</w:t>
      </w:r>
      <w:proofErr w:type="gramEnd"/>
      <w:r w:rsidRPr="00DB62C2">
        <w:rPr>
          <w:rFonts w:asciiTheme="majorHAnsi" w:hAnsiTheme="majorHAnsi" w:cstheme="majorHAnsi"/>
          <w:i/>
          <w:sz w:val="22"/>
          <w:szCs w:val="22"/>
          <w:lang w:val="en-AU"/>
        </w:rPr>
        <w:t xml:space="preserve"> </w:t>
      </w:r>
      <w:r w:rsidRPr="00DB62C2">
        <w:rPr>
          <w:rFonts w:asciiTheme="majorHAnsi" w:hAnsiTheme="majorHAnsi" w:cstheme="majorHAnsi"/>
          <w:sz w:val="22"/>
          <w:szCs w:val="22"/>
          <w:lang w:val="en-AU"/>
        </w:rPr>
        <w:t xml:space="preserve">2018. Available at: </w:t>
      </w:r>
      <w:hyperlink r:id="rId16" w:history="1">
        <w:r w:rsidRPr="00DB62C2">
          <w:rPr>
            <w:rStyle w:val="Hyperlink"/>
            <w:rFonts w:asciiTheme="majorHAnsi" w:hAnsiTheme="majorHAnsi" w:cstheme="majorHAnsi"/>
            <w:sz w:val="22"/>
            <w:szCs w:val="22"/>
            <w:lang w:val="en-AU"/>
          </w:rPr>
          <w:t>https://heas.health.vic.gov.au/healthy-choices/guidelines</w:t>
        </w:r>
      </w:hyperlink>
      <w:r w:rsidRPr="00DB62C2">
        <w:rPr>
          <w:rFonts w:asciiTheme="majorHAnsi" w:hAnsiTheme="majorHAnsi" w:cstheme="majorHAnsi"/>
          <w:sz w:val="22"/>
          <w:szCs w:val="22"/>
          <w:lang w:val="en-AU"/>
        </w:rPr>
        <w:t xml:space="preserve"> </w:t>
      </w:r>
    </w:p>
    <w:p w:rsidR="00DB62C2" w:rsidRPr="00DB62C2" w:rsidRDefault="00DB62C2" w:rsidP="00DB62C2">
      <w:pPr>
        <w:rPr>
          <w:rFonts w:asciiTheme="majorHAnsi" w:hAnsiTheme="majorHAnsi" w:cstheme="majorHAnsi"/>
          <w:sz w:val="22"/>
          <w:szCs w:val="22"/>
          <w:lang w:val="en-AU"/>
        </w:rPr>
      </w:pPr>
    </w:p>
    <w:p w:rsidR="00DB62C2" w:rsidRPr="00DB62C2" w:rsidRDefault="00DB62C2" w:rsidP="00DB62C2">
      <w:pPr>
        <w:rPr>
          <w:rFonts w:asciiTheme="majorHAnsi" w:hAnsiTheme="majorHAnsi" w:cstheme="majorHAnsi"/>
          <w:sz w:val="22"/>
          <w:szCs w:val="22"/>
          <w:lang w:val="en-AU"/>
        </w:rPr>
      </w:pPr>
    </w:p>
    <w:p w:rsidR="00D7364C" w:rsidRPr="00DB62C2" w:rsidRDefault="00D7364C" w:rsidP="00DB62C2">
      <w:pPr>
        <w:rPr>
          <w:rFonts w:asciiTheme="majorHAnsi" w:hAnsiTheme="majorHAnsi" w:cstheme="majorHAnsi"/>
          <w:lang w:val="en-AU"/>
        </w:rPr>
        <w:sectPr w:rsidR="00D7364C" w:rsidRPr="00DB62C2" w:rsidSect="00782169">
          <w:footerReference w:type="default" r:id="rId17"/>
          <w:headerReference w:type="first" r:id="rId18"/>
          <w:pgSz w:w="11900" w:h="16840"/>
          <w:pgMar w:top="1440" w:right="1440" w:bottom="1440" w:left="1440" w:header="284" w:footer="0" w:gutter="0"/>
          <w:cols w:space="708"/>
          <w:titlePg/>
          <w:docGrid w:linePitch="326"/>
        </w:sectPr>
      </w:pPr>
    </w:p>
    <w:p w:rsidR="00DB62C2" w:rsidRDefault="00DB62C2" w:rsidP="00F8165F">
      <w:pPr>
        <w:rPr>
          <w:sz w:val="2"/>
          <w:szCs w:val="2"/>
        </w:rPr>
      </w:pPr>
    </w:p>
    <w:p w:rsidR="00DB62C2" w:rsidRDefault="00DB62C2" w:rsidP="00F8165F">
      <w:pPr>
        <w:rPr>
          <w:sz w:val="2"/>
          <w:szCs w:val="2"/>
        </w:rPr>
      </w:pPr>
    </w:p>
    <w:sectPr w:rsidR="00DB62C2" w:rsidSect="001653C3">
      <w:headerReference w:type="default" r:id="rId19"/>
      <w:footerReference w:type="default" r:id="rId20"/>
      <w:pgSz w:w="11900" w:h="16840"/>
      <w:pgMar w:top="1440" w:right="1440" w:bottom="1440" w:left="1440" w:header="284"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2BF" w:rsidRDefault="00DF52BF">
      <w:r>
        <w:separator/>
      </w:r>
    </w:p>
  </w:endnote>
  <w:endnote w:type="continuationSeparator" w:id="0">
    <w:p w:rsidR="00DF52BF" w:rsidRDefault="00DF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E3" w:rsidRPr="00AB6354" w:rsidRDefault="001D22E3"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BA0" w:rsidRPr="00AB6354" w:rsidRDefault="00680BA0" w:rsidP="00680BA0">
    <w:pPr>
      <w:pStyle w:val="Footer"/>
      <w:ind w:right="-176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2BF" w:rsidRDefault="00DF52BF">
      <w:r>
        <w:separator/>
      </w:r>
    </w:p>
  </w:footnote>
  <w:footnote w:type="continuationSeparator" w:id="0">
    <w:p w:rsidR="00DF52BF" w:rsidRDefault="00DF5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E3" w:rsidRDefault="001D22E3">
    <w:pPr>
      <w:pStyle w:val="Header"/>
    </w:pPr>
    <w:r>
      <w:rPr>
        <w:noProof/>
        <w:lang w:val="en-AU" w:eastAsia="en-AU"/>
      </w:rPr>
      <w:drawing>
        <wp:anchor distT="0" distB="0" distL="114300" distR="114300" simplePos="0" relativeHeight="251662336" behindDoc="1" locked="0" layoutInCell="1" allowOverlap="1" wp14:anchorId="7CF63DE4" wp14:editId="0DB14772">
          <wp:simplePos x="0" y="0"/>
          <wp:positionH relativeFrom="column">
            <wp:posOffset>-918210</wp:posOffset>
          </wp:positionH>
          <wp:positionV relativeFrom="paragraph">
            <wp:posOffset>-261620</wp:posOffset>
          </wp:positionV>
          <wp:extent cx="7559040" cy="2913888"/>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ealesville Hospital and Yarra Valley Health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9138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BA0" w:rsidRDefault="00680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11AB7"/>
    <w:multiLevelType w:val="hybridMultilevel"/>
    <w:tmpl w:val="1C822B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nsid w:val="4A060AA4"/>
    <w:multiLevelType w:val="hybridMultilevel"/>
    <w:tmpl w:val="257ECDE6"/>
    <w:lvl w:ilvl="0" w:tplc="0C09000B">
      <w:start w:val="1"/>
      <w:numFmt w:val="bullet"/>
      <w:lvlText w:val=""/>
      <w:lvlJc w:val="left"/>
      <w:pPr>
        <w:ind w:left="1636" w:hanging="360"/>
      </w:pPr>
      <w:rPr>
        <w:rFonts w:ascii="Wingdings" w:hAnsi="Wingdings"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nsid w:val="4AC768E8"/>
    <w:multiLevelType w:val="hybridMultilevel"/>
    <w:tmpl w:val="BEE0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857EF9"/>
    <w:multiLevelType w:val="hybridMultilevel"/>
    <w:tmpl w:val="32D6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BA47947"/>
    <w:multiLevelType w:val="hybridMultilevel"/>
    <w:tmpl w:val="E5BC0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526413"/>
    <w:multiLevelType w:val="hybridMultilevel"/>
    <w:tmpl w:val="27B0D7E2"/>
    <w:lvl w:ilvl="0" w:tplc="429A8DC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2BF"/>
    <w:rsid w:val="000240D2"/>
    <w:rsid w:val="0007447D"/>
    <w:rsid w:val="000D6954"/>
    <w:rsid w:val="000E0148"/>
    <w:rsid w:val="00137759"/>
    <w:rsid w:val="001419F8"/>
    <w:rsid w:val="001653C3"/>
    <w:rsid w:val="001A138F"/>
    <w:rsid w:val="001B1424"/>
    <w:rsid w:val="001C5223"/>
    <w:rsid w:val="001D22E3"/>
    <w:rsid w:val="001F0BE4"/>
    <w:rsid w:val="00223F28"/>
    <w:rsid w:val="00260CC1"/>
    <w:rsid w:val="00277955"/>
    <w:rsid w:val="002A0411"/>
    <w:rsid w:val="002A2DBB"/>
    <w:rsid w:val="002B0EEB"/>
    <w:rsid w:val="002B1842"/>
    <w:rsid w:val="00304630"/>
    <w:rsid w:val="003339A3"/>
    <w:rsid w:val="003409E5"/>
    <w:rsid w:val="00344F66"/>
    <w:rsid w:val="00346078"/>
    <w:rsid w:val="003633E1"/>
    <w:rsid w:val="00366EFC"/>
    <w:rsid w:val="00370446"/>
    <w:rsid w:val="00374F44"/>
    <w:rsid w:val="00393042"/>
    <w:rsid w:val="0039360E"/>
    <w:rsid w:val="003B4704"/>
    <w:rsid w:val="003E7D01"/>
    <w:rsid w:val="003F09CA"/>
    <w:rsid w:val="00407BB9"/>
    <w:rsid w:val="00415EAB"/>
    <w:rsid w:val="00427749"/>
    <w:rsid w:val="0045404D"/>
    <w:rsid w:val="00457F15"/>
    <w:rsid w:val="00467D6E"/>
    <w:rsid w:val="0047712C"/>
    <w:rsid w:val="0048510B"/>
    <w:rsid w:val="004A14A0"/>
    <w:rsid w:val="004C1D7C"/>
    <w:rsid w:val="004C4B9A"/>
    <w:rsid w:val="004E4159"/>
    <w:rsid w:val="005072B0"/>
    <w:rsid w:val="00531C4E"/>
    <w:rsid w:val="005333C2"/>
    <w:rsid w:val="0054270B"/>
    <w:rsid w:val="005819DB"/>
    <w:rsid w:val="00591949"/>
    <w:rsid w:val="00591D0A"/>
    <w:rsid w:val="005B3404"/>
    <w:rsid w:val="005E5E68"/>
    <w:rsid w:val="005F3070"/>
    <w:rsid w:val="00633B6C"/>
    <w:rsid w:val="00643759"/>
    <w:rsid w:val="00644920"/>
    <w:rsid w:val="006454A0"/>
    <w:rsid w:val="00671CAA"/>
    <w:rsid w:val="00680BA0"/>
    <w:rsid w:val="006A4146"/>
    <w:rsid w:val="006B2544"/>
    <w:rsid w:val="006B5618"/>
    <w:rsid w:val="006B730B"/>
    <w:rsid w:val="006C6E2B"/>
    <w:rsid w:val="006D7587"/>
    <w:rsid w:val="006E28FE"/>
    <w:rsid w:val="00726861"/>
    <w:rsid w:val="00782169"/>
    <w:rsid w:val="00793F5C"/>
    <w:rsid w:val="00795E89"/>
    <w:rsid w:val="007A61C3"/>
    <w:rsid w:val="007B703B"/>
    <w:rsid w:val="007E1E38"/>
    <w:rsid w:val="0080069B"/>
    <w:rsid w:val="008467EF"/>
    <w:rsid w:val="008506C4"/>
    <w:rsid w:val="00893DBB"/>
    <w:rsid w:val="0089410D"/>
    <w:rsid w:val="008A2689"/>
    <w:rsid w:val="008C5794"/>
    <w:rsid w:val="008F0026"/>
    <w:rsid w:val="008F3DDC"/>
    <w:rsid w:val="00924018"/>
    <w:rsid w:val="009371AD"/>
    <w:rsid w:val="009423C3"/>
    <w:rsid w:val="00951854"/>
    <w:rsid w:val="009611AC"/>
    <w:rsid w:val="009872B0"/>
    <w:rsid w:val="009A3F39"/>
    <w:rsid w:val="009B48B2"/>
    <w:rsid w:val="009C40D0"/>
    <w:rsid w:val="009C66E8"/>
    <w:rsid w:val="009E2E12"/>
    <w:rsid w:val="009E3CBC"/>
    <w:rsid w:val="009E6BB3"/>
    <w:rsid w:val="009F0A00"/>
    <w:rsid w:val="009F7B14"/>
    <w:rsid w:val="00A01921"/>
    <w:rsid w:val="00A102E5"/>
    <w:rsid w:val="00A61A44"/>
    <w:rsid w:val="00A6753C"/>
    <w:rsid w:val="00A7565B"/>
    <w:rsid w:val="00A8553F"/>
    <w:rsid w:val="00AB6354"/>
    <w:rsid w:val="00AD79DE"/>
    <w:rsid w:val="00AE5770"/>
    <w:rsid w:val="00B05465"/>
    <w:rsid w:val="00B400F6"/>
    <w:rsid w:val="00B74872"/>
    <w:rsid w:val="00B84408"/>
    <w:rsid w:val="00C17D81"/>
    <w:rsid w:val="00C6007B"/>
    <w:rsid w:val="00C6361B"/>
    <w:rsid w:val="00C71045"/>
    <w:rsid w:val="00C808D6"/>
    <w:rsid w:val="00CA02B5"/>
    <w:rsid w:val="00CA5C96"/>
    <w:rsid w:val="00CB5256"/>
    <w:rsid w:val="00D114F1"/>
    <w:rsid w:val="00D11EDF"/>
    <w:rsid w:val="00D32E19"/>
    <w:rsid w:val="00D37EF7"/>
    <w:rsid w:val="00D43C33"/>
    <w:rsid w:val="00D7364C"/>
    <w:rsid w:val="00D80C90"/>
    <w:rsid w:val="00DA42CD"/>
    <w:rsid w:val="00DB62C2"/>
    <w:rsid w:val="00DF52BF"/>
    <w:rsid w:val="00E401D6"/>
    <w:rsid w:val="00E54F35"/>
    <w:rsid w:val="00EB5B38"/>
    <w:rsid w:val="00EC4D04"/>
    <w:rsid w:val="00F71C02"/>
    <w:rsid w:val="00F76254"/>
    <w:rsid w:val="00F8165F"/>
    <w:rsid w:val="00F85EEA"/>
    <w:rsid w:val="00FC207A"/>
    <w:rsid w:val="00FC742B"/>
    <w:rsid w:val="00FD406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header" w:uiPriority="99"/>
    <w:lsdException w:name="Table Grid" w:uiPriority="39"/>
    <w:lsdException w:name="No Spacing" w:uiPriority="1" w:qFormat="1"/>
    <w:lsdException w:name="List Paragraph" w:uiPriority="34" w:qFormat="1"/>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table" w:styleId="TableGrid">
    <w:name w:val="Table Grid"/>
    <w:basedOn w:val="TableNormal"/>
    <w:uiPriority w:val="39"/>
    <w:rsid w:val="00D114F1"/>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53C3"/>
    <w:pPr>
      <w:ind w:left="720"/>
      <w:contextualSpacing/>
    </w:pPr>
    <w:rPr>
      <w:rFonts w:asciiTheme="minorHAnsi" w:eastAsiaTheme="minorHAnsi" w:hAnsiTheme="minorHAnsi" w:cstheme="minorBidi"/>
      <w:lang w:val="en-GB"/>
    </w:rPr>
  </w:style>
  <w:style w:type="character" w:styleId="Hyperlink">
    <w:name w:val="Hyperlink"/>
    <w:basedOn w:val="DefaultParagraphFont"/>
    <w:rsid w:val="009E6BB3"/>
    <w:rPr>
      <w:color w:val="0000FF" w:themeColor="hyperlink"/>
      <w:u w:val="single"/>
    </w:rPr>
  </w:style>
  <w:style w:type="character" w:styleId="CommentReference">
    <w:name w:val="annotation reference"/>
    <w:basedOn w:val="DefaultParagraphFont"/>
    <w:rsid w:val="00D80C90"/>
    <w:rPr>
      <w:sz w:val="16"/>
      <w:szCs w:val="16"/>
    </w:rPr>
  </w:style>
  <w:style w:type="paragraph" w:styleId="CommentText">
    <w:name w:val="annotation text"/>
    <w:basedOn w:val="Normal"/>
    <w:link w:val="CommentTextChar"/>
    <w:rsid w:val="00D80C90"/>
    <w:rPr>
      <w:sz w:val="20"/>
      <w:szCs w:val="20"/>
    </w:rPr>
  </w:style>
  <w:style w:type="character" w:customStyle="1" w:styleId="CommentTextChar">
    <w:name w:val="Comment Text Char"/>
    <w:basedOn w:val="DefaultParagraphFont"/>
    <w:link w:val="CommentText"/>
    <w:rsid w:val="00D80C90"/>
    <w:rPr>
      <w:lang w:val="en-US"/>
    </w:rPr>
  </w:style>
  <w:style w:type="paragraph" w:styleId="CommentSubject">
    <w:name w:val="annotation subject"/>
    <w:basedOn w:val="CommentText"/>
    <w:next w:val="CommentText"/>
    <w:link w:val="CommentSubjectChar"/>
    <w:rsid w:val="00D80C90"/>
    <w:rPr>
      <w:b/>
      <w:bCs/>
    </w:rPr>
  </w:style>
  <w:style w:type="character" w:customStyle="1" w:styleId="CommentSubjectChar">
    <w:name w:val="Comment Subject Char"/>
    <w:basedOn w:val="CommentTextChar"/>
    <w:link w:val="CommentSubject"/>
    <w:rsid w:val="00D80C90"/>
    <w:rPr>
      <w:b/>
      <w:bCs/>
      <w:lang w:val="en-US"/>
    </w:rPr>
  </w:style>
  <w:style w:type="paragraph" w:styleId="NoSpacing">
    <w:name w:val="No Spacing"/>
    <w:uiPriority w:val="1"/>
    <w:qFormat/>
    <w:rsid w:val="00DB62C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header" w:uiPriority="99"/>
    <w:lsdException w:name="Table Grid" w:uiPriority="39"/>
    <w:lsdException w:name="No Spacing" w:uiPriority="1" w:qFormat="1"/>
    <w:lsdException w:name="List Paragraph" w:uiPriority="34" w:qFormat="1"/>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table" w:styleId="TableGrid">
    <w:name w:val="Table Grid"/>
    <w:basedOn w:val="TableNormal"/>
    <w:uiPriority w:val="39"/>
    <w:rsid w:val="00D114F1"/>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53C3"/>
    <w:pPr>
      <w:ind w:left="720"/>
      <w:contextualSpacing/>
    </w:pPr>
    <w:rPr>
      <w:rFonts w:asciiTheme="minorHAnsi" w:eastAsiaTheme="minorHAnsi" w:hAnsiTheme="minorHAnsi" w:cstheme="minorBidi"/>
      <w:lang w:val="en-GB"/>
    </w:rPr>
  </w:style>
  <w:style w:type="character" w:styleId="Hyperlink">
    <w:name w:val="Hyperlink"/>
    <w:basedOn w:val="DefaultParagraphFont"/>
    <w:rsid w:val="009E6BB3"/>
    <w:rPr>
      <w:color w:val="0000FF" w:themeColor="hyperlink"/>
      <w:u w:val="single"/>
    </w:rPr>
  </w:style>
  <w:style w:type="character" w:styleId="CommentReference">
    <w:name w:val="annotation reference"/>
    <w:basedOn w:val="DefaultParagraphFont"/>
    <w:rsid w:val="00D80C90"/>
    <w:rPr>
      <w:sz w:val="16"/>
      <w:szCs w:val="16"/>
    </w:rPr>
  </w:style>
  <w:style w:type="paragraph" w:styleId="CommentText">
    <w:name w:val="annotation text"/>
    <w:basedOn w:val="Normal"/>
    <w:link w:val="CommentTextChar"/>
    <w:rsid w:val="00D80C90"/>
    <w:rPr>
      <w:sz w:val="20"/>
      <w:szCs w:val="20"/>
    </w:rPr>
  </w:style>
  <w:style w:type="character" w:customStyle="1" w:styleId="CommentTextChar">
    <w:name w:val="Comment Text Char"/>
    <w:basedOn w:val="DefaultParagraphFont"/>
    <w:link w:val="CommentText"/>
    <w:rsid w:val="00D80C90"/>
    <w:rPr>
      <w:lang w:val="en-US"/>
    </w:rPr>
  </w:style>
  <w:style w:type="paragraph" w:styleId="CommentSubject">
    <w:name w:val="annotation subject"/>
    <w:basedOn w:val="CommentText"/>
    <w:next w:val="CommentText"/>
    <w:link w:val="CommentSubjectChar"/>
    <w:rsid w:val="00D80C90"/>
    <w:rPr>
      <w:b/>
      <w:bCs/>
    </w:rPr>
  </w:style>
  <w:style w:type="character" w:customStyle="1" w:styleId="CommentSubjectChar">
    <w:name w:val="Comment Subject Char"/>
    <w:basedOn w:val="CommentTextChar"/>
    <w:link w:val="CommentSubject"/>
    <w:rsid w:val="00D80C90"/>
    <w:rPr>
      <w:b/>
      <w:bCs/>
      <w:lang w:val="en-US"/>
    </w:rPr>
  </w:style>
  <w:style w:type="paragraph" w:styleId="NoSpacing">
    <w:name w:val="No Spacing"/>
    <w:uiPriority w:val="1"/>
    <w:qFormat/>
    <w:rsid w:val="00DB62C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ihw.gov.au/reports-statistics/health-conditions-disability-deaths/chronic-disease/overvie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heas.health.vic.gov.au/healthy-choices/guidelin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achievementprogram.health.vic.gov.au/healthy-places/workplaces"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aihw.gov.au/getmedia/172fba28-785e-4a08-ab37-2da3bbae40b8/aihw-phe-216.pdf.aspx?inline=tru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BCB1C-D30A-4823-BDB8-D60FDB71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1440</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9856</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Carla</dc:creator>
  <cp:lastModifiedBy>O'donnell, Josette</cp:lastModifiedBy>
  <cp:revision>2</cp:revision>
  <cp:lastPrinted>2009-03-16T02:52:00Z</cp:lastPrinted>
  <dcterms:created xsi:type="dcterms:W3CDTF">2019-03-26T05:34:00Z</dcterms:created>
  <dcterms:modified xsi:type="dcterms:W3CDTF">2019-03-26T05:34:00Z</dcterms:modified>
</cp:coreProperties>
</file>