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9AAC5" w14:textId="4532DDDC" w:rsidR="004C5F04" w:rsidRDefault="004C5F04" w:rsidP="004E7BEF">
      <w:pPr>
        <w:pStyle w:val="DocMainHeadingLevel2EASH"/>
        <w:spacing w:line="276" w:lineRule="auto"/>
        <w:ind w:left="0" w:right="95"/>
        <w:rPr>
          <w:color w:val="1E2656"/>
          <w:szCs w:val="36"/>
        </w:rPr>
      </w:pPr>
    </w:p>
    <w:p w14:paraId="64385C9F" w14:textId="77777777" w:rsidR="004C5F04" w:rsidRDefault="004C5F04" w:rsidP="004E7BEF">
      <w:pPr>
        <w:pStyle w:val="DocMainHeadingLevel2EASH"/>
        <w:spacing w:line="276" w:lineRule="auto"/>
        <w:ind w:left="0" w:right="95"/>
        <w:rPr>
          <w:color w:val="1E2656"/>
          <w:szCs w:val="36"/>
        </w:rPr>
      </w:pPr>
    </w:p>
    <w:p w14:paraId="5C089B52" w14:textId="77777777" w:rsidR="004C5F04" w:rsidRDefault="004C5F04">
      <w:pPr>
        <w:rPr>
          <w:rFonts w:ascii="Arial" w:hAnsi="Arial" w:cs="Arial"/>
          <w:color w:val="1E2656"/>
          <w:sz w:val="36"/>
          <w:szCs w:val="36"/>
        </w:rPr>
      </w:pPr>
      <w:r>
        <w:rPr>
          <w:color w:val="1E2656"/>
          <w:szCs w:val="36"/>
        </w:rPr>
        <w:br w:type="page"/>
      </w:r>
    </w:p>
    <w:p w14:paraId="57660002" w14:textId="7F1B2D9B" w:rsidR="004C5F04" w:rsidRPr="00BA1B7B" w:rsidRDefault="004C5F04">
      <w:pPr>
        <w:rPr>
          <w:rFonts w:ascii="Arial" w:hAnsi="Arial" w:cs="Arial"/>
          <w:sz w:val="36"/>
          <w:szCs w:val="36"/>
        </w:rPr>
      </w:pPr>
    </w:p>
    <w:p w14:paraId="3EBC4783" w14:textId="7327C2B8" w:rsidR="00C72AE7" w:rsidRPr="00BA1B7B" w:rsidRDefault="00C72AE7" w:rsidP="004E7BEF">
      <w:pPr>
        <w:pStyle w:val="DocMainHeadingLevel2EASH"/>
        <w:spacing w:line="276" w:lineRule="auto"/>
        <w:ind w:left="0" w:right="95"/>
        <w:rPr>
          <w:b/>
          <w:color w:val="auto"/>
          <w:szCs w:val="36"/>
        </w:rPr>
      </w:pPr>
      <w:r w:rsidRPr="00BA1B7B">
        <w:rPr>
          <w:b/>
          <w:color w:val="auto"/>
          <w:szCs w:val="36"/>
        </w:rPr>
        <w:t>GP G</w:t>
      </w:r>
      <w:r w:rsidR="00911B94" w:rsidRPr="00BA1B7B">
        <w:rPr>
          <w:b/>
          <w:color w:val="auto"/>
          <w:szCs w:val="36"/>
        </w:rPr>
        <w:t xml:space="preserve">uidelines for Maternity </w:t>
      </w:r>
      <w:r w:rsidR="002469E7" w:rsidRPr="00BA1B7B">
        <w:rPr>
          <w:b/>
          <w:color w:val="auto"/>
          <w:szCs w:val="36"/>
        </w:rPr>
        <w:t xml:space="preserve">&amp; GP </w:t>
      </w:r>
      <w:r w:rsidR="00911B94" w:rsidRPr="00BA1B7B">
        <w:rPr>
          <w:b/>
          <w:color w:val="auto"/>
          <w:szCs w:val="36"/>
        </w:rPr>
        <w:t>Shared Care Program</w:t>
      </w:r>
    </w:p>
    <w:p w14:paraId="05E30D19" w14:textId="51447060" w:rsidR="006F52A5" w:rsidRPr="00BA1B7B" w:rsidRDefault="006F52A5" w:rsidP="004E7BEF">
      <w:pPr>
        <w:pStyle w:val="DocMainHeadingLevel2EASH"/>
        <w:spacing w:line="276" w:lineRule="auto"/>
        <w:ind w:left="0" w:right="95"/>
        <w:rPr>
          <w:color w:val="auto"/>
          <w:sz w:val="20"/>
        </w:rPr>
      </w:pPr>
      <w:r w:rsidRPr="00BA1B7B">
        <w:rPr>
          <w:color w:val="auto"/>
          <w:sz w:val="20"/>
        </w:rPr>
        <w:t>Copyright State of Victoria 2020 Eastern Health (EH) – all rights reserved.</w:t>
      </w:r>
    </w:p>
    <w:p w14:paraId="6EEEEDA2" w14:textId="4997EAFE" w:rsidR="006F52A5" w:rsidRPr="00BA1B7B" w:rsidRDefault="006F52A5" w:rsidP="004E7BEF">
      <w:pPr>
        <w:pStyle w:val="DocMainHeadingLevel2EASH"/>
        <w:spacing w:line="276" w:lineRule="auto"/>
        <w:ind w:left="0" w:right="95"/>
        <w:rPr>
          <w:color w:val="auto"/>
          <w:sz w:val="20"/>
        </w:rPr>
      </w:pPr>
      <w:r w:rsidRPr="00BA1B7B">
        <w:rPr>
          <w:color w:val="auto"/>
          <w:sz w:val="20"/>
        </w:rPr>
        <w:t>Except for fair dealing for the purpose of research, education or study, no part of this document may be reproduced in whole or part, for any other purpose.</w:t>
      </w:r>
    </w:p>
    <w:p w14:paraId="4D83BAA1" w14:textId="0DFAEED3" w:rsidR="006F52A5" w:rsidRPr="00BA1B7B" w:rsidRDefault="006F52A5" w:rsidP="004E7BEF">
      <w:pPr>
        <w:pStyle w:val="DocMainHeadingLevel2EASH"/>
        <w:spacing w:line="276" w:lineRule="auto"/>
        <w:ind w:left="0" w:right="95"/>
        <w:rPr>
          <w:color w:val="auto"/>
          <w:sz w:val="20"/>
        </w:rPr>
      </w:pPr>
      <w:r w:rsidRPr="00BA1B7B">
        <w:rPr>
          <w:color w:val="auto"/>
          <w:sz w:val="20"/>
        </w:rPr>
        <w:t>In the development of this guideline EH acknowledges the work of the 2015 Guideline for Shared Maternity Care Affiliates: The Royal Women’s Hospital, Mercy Public Hospitals Incorporated and Western Health. This work is reproduced with the permission of The Royal Women’s Hospital, Mercy Public Hospitals Incorporated and Western Health.</w:t>
      </w:r>
    </w:p>
    <w:p w14:paraId="563B3182" w14:textId="7E7C2131" w:rsidR="006F52A5" w:rsidRPr="00BA1B7B" w:rsidRDefault="006F52A5" w:rsidP="004E7BEF">
      <w:pPr>
        <w:pStyle w:val="DocMainHeadingLevel2EASH"/>
        <w:spacing w:line="276" w:lineRule="auto"/>
        <w:ind w:left="0" w:right="95"/>
        <w:rPr>
          <w:color w:val="auto"/>
          <w:sz w:val="20"/>
        </w:rPr>
      </w:pPr>
      <w:r w:rsidRPr="00BA1B7B">
        <w:rPr>
          <w:color w:val="auto"/>
          <w:sz w:val="20"/>
        </w:rPr>
        <w:t>This publication is available on the EH website: easternhealth.org.au</w:t>
      </w:r>
      <w:r w:rsidR="002B2388">
        <w:rPr>
          <w:color w:val="auto"/>
          <w:sz w:val="20"/>
        </w:rPr>
        <w:t xml:space="preserve"> </w:t>
      </w:r>
    </w:p>
    <w:p w14:paraId="6C4ED1BB" w14:textId="26D0E1C1" w:rsidR="006F52A5" w:rsidRPr="00BA1B7B" w:rsidRDefault="006F52A5" w:rsidP="004E7BEF">
      <w:pPr>
        <w:pStyle w:val="DocMainHeadingLevel2EASH"/>
        <w:spacing w:line="276" w:lineRule="auto"/>
        <w:ind w:left="0" w:right="95"/>
        <w:rPr>
          <w:color w:val="auto"/>
          <w:sz w:val="20"/>
        </w:rPr>
      </w:pPr>
    </w:p>
    <w:p w14:paraId="36717577" w14:textId="2C496F82" w:rsidR="006F52A5" w:rsidRPr="00BA1B7B" w:rsidRDefault="006F52A5" w:rsidP="004E7BEF">
      <w:pPr>
        <w:pStyle w:val="DocMainHeadingLevel2EASH"/>
        <w:spacing w:line="276" w:lineRule="auto"/>
        <w:ind w:left="0" w:right="95"/>
        <w:rPr>
          <w:b/>
          <w:color w:val="auto"/>
          <w:sz w:val="20"/>
        </w:rPr>
      </w:pPr>
      <w:r w:rsidRPr="00BA1B7B">
        <w:rPr>
          <w:b/>
          <w:color w:val="auto"/>
          <w:sz w:val="20"/>
        </w:rPr>
        <w:t>Disclaimer</w:t>
      </w:r>
    </w:p>
    <w:p w14:paraId="1847A9DE" w14:textId="3681D3FC" w:rsidR="006F52A5" w:rsidRPr="00BA1B7B" w:rsidRDefault="006F52A5" w:rsidP="004E7BEF">
      <w:pPr>
        <w:pStyle w:val="DocMainHeadingLevel2EASH"/>
        <w:spacing w:line="276" w:lineRule="auto"/>
        <w:ind w:left="0" w:right="95"/>
        <w:rPr>
          <w:color w:val="auto"/>
          <w:sz w:val="20"/>
        </w:rPr>
      </w:pPr>
      <w:r w:rsidRPr="00BA1B7B">
        <w:rPr>
          <w:color w:val="auto"/>
          <w:sz w:val="20"/>
        </w:rPr>
        <w:t xml:space="preserve">These guidelines have been developed for the provision of shared maternity </w:t>
      </w:r>
      <w:r w:rsidR="00741257" w:rsidRPr="00BA1B7B">
        <w:rPr>
          <w:color w:val="auto"/>
          <w:sz w:val="20"/>
        </w:rPr>
        <w:t>care between EH and shared maternity care affiliates accredited at these hospitals.</w:t>
      </w:r>
    </w:p>
    <w:p w14:paraId="2DAE44D6" w14:textId="660E9BF9" w:rsidR="00741257" w:rsidRPr="00BA1B7B" w:rsidRDefault="00741257" w:rsidP="004E7BEF">
      <w:pPr>
        <w:pStyle w:val="DocMainHeadingLevel2EASH"/>
        <w:spacing w:line="276" w:lineRule="auto"/>
        <w:ind w:left="0" w:right="95"/>
        <w:rPr>
          <w:color w:val="auto"/>
          <w:sz w:val="20"/>
        </w:rPr>
      </w:pPr>
      <w:r w:rsidRPr="00BA1B7B">
        <w:rPr>
          <w:color w:val="auto"/>
          <w:sz w:val="20"/>
        </w:rPr>
        <w:t>Irrespective of these guidelines, every health service provider and health professional must individually exercise the standard of professional judgement and conduct, expected of them in selecting the most appropriate care for a pregnant woman and in the management of her pregnancy.</w:t>
      </w:r>
    </w:p>
    <w:p w14:paraId="1BCD7DF3" w14:textId="77777777" w:rsidR="00741257" w:rsidRPr="00BA1B7B" w:rsidRDefault="00741257" w:rsidP="00C72AE7">
      <w:pPr>
        <w:pStyle w:val="Body"/>
        <w:spacing w:line="240" w:lineRule="auto"/>
        <w:rPr>
          <w:rFonts w:ascii="Arial" w:hAnsi="Arial" w:cs="Arial"/>
          <w:b/>
          <w:color w:val="auto"/>
          <w:sz w:val="24"/>
          <w:szCs w:val="24"/>
        </w:rPr>
      </w:pPr>
    </w:p>
    <w:p w14:paraId="59E5BD73" w14:textId="192E2EFE" w:rsidR="00C72AE7" w:rsidRPr="00BA1B7B" w:rsidRDefault="00C72AE7" w:rsidP="00C72AE7">
      <w:pPr>
        <w:pStyle w:val="Body"/>
        <w:spacing w:line="240" w:lineRule="auto"/>
        <w:rPr>
          <w:rFonts w:ascii="Arial" w:hAnsi="Arial" w:cs="Arial"/>
          <w:b/>
          <w:color w:val="auto"/>
          <w:sz w:val="20"/>
          <w:szCs w:val="20"/>
        </w:rPr>
      </w:pPr>
      <w:r w:rsidRPr="00BA1B7B">
        <w:rPr>
          <w:rFonts w:ascii="Arial" w:hAnsi="Arial" w:cs="Arial"/>
          <w:b/>
          <w:color w:val="auto"/>
          <w:sz w:val="20"/>
          <w:szCs w:val="20"/>
        </w:rPr>
        <w:t>Guideline Working Group</w:t>
      </w:r>
    </w:p>
    <w:p w14:paraId="5DA1D205" w14:textId="522260CF" w:rsidR="00C72AE7" w:rsidRPr="00BA1B7B" w:rsidRDefault="00C72AE7" w:rsidP="00C72AE7">
      <w:pPr>
        <w:spacing w:after="309"/>
        <w:ind w:left="217" w:hanging="227"/>
        <w:rPr>
          <w:rFonts w:ascii="Arial" w:hAnsi="Arial" w:cs="Arial"/>
          <w:sz w:val="20"/>
          <w:szCs w:val="20"/>
        </w:rPr>
      </w:pPr>
      <w:bookmarkStart w:id="0" w:name="_Hlk50103593"/>
      <w:r w:rsidRPr="00BA1B7B">
        <w:rPr>
          <w:rFonts w:ascii="Arial" w:hAnsi="Arial" w:cs="Arial"/>
          <w:b/>
          <w:bCs/>
          <w:sz w:val="20"/>
          <w:szCs w:val="20"/>
        </w:rPr>
        <w:t>Main authors and project lead</w:t>
      </w:r>
    </w:p>
    <w:bookmarkEnd w:id="0"/>
    <w:p w14:paraId="24030394" w14:textId="485727D5" w:rsidR="00C72AE7" w:rsidRPr="00BA1B7B" w:rsidRDefault="00C72AE7" w:rsidP="00C72AE7">
      <w:pPr>
        <w:spacing w:line="276" w:lineRule="auto"/>
        <w:ind w:right="12"/>
        <w:rPr>
          <w:rFonts w:ascii="Arial" w:hAnsi="Arial" w:cs="Arial"/>
          <w:sz w:val="20"/>
          <w:szCs w:val="20"/>
        </w:rPr>
      </w:pPr>
      <w:r w:rsidRPr="00BA1B7B">
        <w:rPr>
          <w:rFonts w:ascii="Arial" w:hAnsi="Arial" w:cs="Arial"/>
          <w:sz w:val="20"/>
          <w:szCs w:val="20"/>
        </w:rPr>
        <w:t>Kate Longden – Midwife Box Hill Hospital</w:t>
      </w:r>
    </w:p>
    <w:p w14:paraId="22ACFE9D" w14:textId="77777777" w:rsidR="00C72AE7" w:rsidRPr="00BA1B7B" w:rsidRDefault="00C72AE7" w:rsidP="00C72AE7">
      <w:pPr>
        <w:spacing w:line="276" w:lineRule="auto"/>
        <w:ind w:right="12"/>
        <w:rPr>
          <w:rFonts w:ascii="Arial" w:hAnsi="Arial" w:cs="Arial"/>
          <w:sz w:val="20"/>
          <w:szCs w:val="20"/>
        </w:rPr>
      </w:pPr>
      <w:r w:rsidRPr="00BA1B7B">
        <w:rPr>
          <w:rFonts w:ascii="Arial" w:hAnsi="Arial" w:cs="Arial"/>
          <w:sz w:val="20"/>
          <w:szCs w:val="20"/>
        </w:rPr>
        <w:t>Dr Penny Gaskell – GP Liaison Eastern Health</w:t>
      </w:r>
    </w:p>
    <w:p w14:paraId="61B08933" w14:textId="3C861B93" w:rsidR="00C72AE7" w:rsidRPr="00BA1B7B" w:rsidRDefault="00C72AE7" w:rsidP="00C72AE7">
      <w:pPr>
        <w:spacing w:line="276" w:lineRule="auto"/>
        <w:ind w:right="12"/>
        <w:rPr>
          <w:rFonts w:ascii="Arial" w:hAnsi="Arial" w:cs="Arial"/>
          <w:sz w:val="20"/>
          <w:szCs w:val="20"/>
        </w:rPr>
      </w:pPr>
      <w:r w:rsidRPr="00BA1B7B">
        <w:rPr>
          <w:rFonts w:ascii="Arial" w:hAnsi="Arial" w:cs="Arial"/>
          <w:sz w:val="20"/>
          <w:szCs w:val="20"/>
        </w:rPr>
        <w:t xml:space="preserve">Kathy Evans – </w:t>
      </w:r>
      <w:r w:rsidR="00E67277" w:rsidRPr="00BA1B7B">
        <w:rPr>
          <w:rFonts w:ascii="Arial" w:hAnsi="Arial" w:cs="Arial"/>
          <w:sz w:val="20"/>
          <w:szCs w:val="20"/>
        </w:rPr>
        <w:t>CMC</w:t>
      </w:r>
      <w:r w:rsidRPr="00BA1B7B">
        <w:rPr>
          <w:rFonts w:ascii="Arial" w:hAnsi="Arial" w:cs="Arial"/>
          <w:sz w:val="20"/>
          <w:szCs w:val="20"/>
        </w:rPr>
        <w:t xml:space="preserve"> Box Hill Hospital</w:t>
      </w:r>
    </w:p>
    <w:p w14:paraId="4C8C6442" w14:textId="77777777" w:rsidR="00C72AE7" w:rsidRPr="00BA1B7B" w:rsidRDefault="00C72AE7" w:rsidP="00C72AE7">
      <w:pPr>
        <w:spacing w:after="309" w:line="276" w:lineRule="auto"/>
        <w:ind w:left="217" w:hanging="227"/>
        <w:rPr>
          <w:rFonts w:ascii="Arial" w:hAnsi="Arial" w:cs="Arial"/>
          <w:sz w:val="20"/>
          <w:szCs w:val="20"/>
        </w:rPr>
      </w:pPr>
      <w:r w:rsidRPr="00BA1B7B">
        <w:rPr>
          <w:rFonts w:ascii="Arial" w:hAnsi="Arial" w:cs="Arial"/>
          <w:sz w:val="20"/>
          <w:szCs w:val="20"/>
        </w:rPr>
        <w:t>Brindie McPhee – Maternity Unit Manager Antenatal Clinic Box Hill Hospital</w:t>
      </w:r>
    </w:p>
    <w:p w14:paraId="40EF260C" w14:textId="77777777" w:rsidR="00C72AE7" w:rsidRPr="00BA1B7B" w:rsidRDefault="00C72AE7" w:rsidP="00C72AE7">
      <w:pPr>
        <w:spacing w:after="309" w:line="276" w:lineRule="auto"/>
        <w:ind w:left="217" w:hanging="227"/>
        <w:rPr>
          <w:rFonts w:ascii="Arial" w:hAnsi="Arial" w:cs="Arial"/>
          <w:sz w:val="20"/>
          <w:szCs w:val="20"/>
        </w:rPr>
      </w:pPr>
      <w:bookmarkStart w:id="1" w:name="_Hlk50103718"/>
      <w:r w:rsidRPr="00BA1B7B">
        <w:rPr>
          <w:rFonts w:ascii="Arial" w:hAnsi="Arial" w:cs="Arial"/>
          <w:b/>
          <w:bCs/>
          <w:sz w:val="20"/>
          <w:szCs w:val="20"/>
        </w:rPr>
        <w:t>Endorsement</w:t>
      </w:r>
    </w:p>
    <w:p w14:paraId="31936DAE" w14:textId="77777777" w:rsidR="00C72AE7" w:rsidRPr="00BA1B7B" w:rsidRDefault="00C72AE7" w:rsidP="00C72AE7">
      <w:pPr>
        <w:spacing w:line="276" w:lineRule="auto"/>
        <w:ind w:right="12"/>
        <w:rPr>
          <w:rFonts w:ascii="Arial" w:hAnsi="Arial" w:cs="Arial"/>
          <w:sz w:val="20"/>
          <w:szCs w:val="20"/>
        </w:rPr>
      </w:pPr>
      <w:r w:rsidRPr="00BA1B7B">
        <w:rPr>
          <w:rFonts w:ascii="Arial" w:hAnsi="Arial" w:cs="Arial"/>
          <w:sz w:val="20"/>
          <w:szCs w:val="20"/>
        </w:rPr>
        <w:t>Dr Penny Sheehan – Director of Obstetrics Eastern Health</w:t>
      </w:r>
    </w:p>
    <w:p w14:paraId="7FE38572" w14:textId="77777777" w:rsidR="00C72AE7" w:rsidRPr="00BA1B7B" w:rsidRDefault="00C72AE7" w:rsidP="00C72AE7">
      <w:pPr>
        <w:spacing w:line="276" w:lineRule="auto"/>
        <w:ind w:right="12"/>
        <w:rPr>
          <w:rFonts w:ascii="Arial" w:hAnsi="Arial" w:cs="Arial"/>
          <w:sz w:val="20"/>
          <w:szCs w:val="20"/>
        </w:rPr>
      </w:pPr>
      <w:r w:rsidRPr="00BA1B7B">
        <w:rPr>
          <w:rFonts w:ascii="Arial" w:hAnsi="Arial" w:cs="Arial"/>
          <w:sz w:val="20"/>
          <w:szCs w:val="20"/>
        </w:rPr>
        <w:t>Christine Lamotte – Women’s and Children’s Program Director</w:t>
      </w:r>
    </w:p>
    <w:p w14:paraId="5683736E" w14:textId="77777777" w:rsidR="00C72AE7" w:rsidRPr="00BA1B7B" w:rsidRDefault="00C72AE7" w:rsidP="00C72AE7">
      <w:pPr>
        <w:spacing w:line="276" w:lineRule="auto"/>
        <w:ind w:right="12"/>
        <w:rPr>
          <w:rFonts w:ascii="Arial" w:hAnsi="Arial" w:cs="Arial"/>
          <w:sz w:val="20"/>
          <w:szCs w:val="20"/>
        </w:rPr>
      </w:pPr>
      <w:r w:rsidRPr="00BA1B7B">
        <w:rPr>
          <w:rFonts w:ascii="Arial" w:hAnsi="Arial" w:cs="Arial"/>
          <w:sz w:val="20"/>
          <w:szCs w:val="20"/>
        </w:rPr>
        <w:t xml:space="preserve">Kym Harrisson – Director of Midwifery Eastern Health and </w:t>
      </w:r>
      <w:bookmarkStart w:id="2" w:name="_Hlk50103883"/>
      <w:r w:rsidRPr="00BA1B7B">
        <w:rPr>
          <w:rFonts w:ascii="Arial" w:hAnsi="Arial" w:cs="Arial"/>
          <w:sz w:val="20"/>
          <w:szCs w:val="20"/>
        </w:rPr>
        <w:t>Associate Program Director Box Hill Hospital</w:t>
      </w:r>
      <w:bookmarkEnd w:id="2"/>
    </w:p>
    <w:p w14:paraId="14B33FFA" w14:textId="35D8D901" w:rsidR="00C72AE7" w:rsidRPr="00BA1B7B" w:rsidRDefault="00C72AE7" w:rsidP="00E67277">
      <w:pPr>
        <w:spacing w:after="309" w:line="276" w:lineRule="auto"/>
        <w:ind w:left="217" w:hanging="227"/>
        <w:rPr>
          <w:rFonts w:ascii="Arial" w:hAnsi="Arial" w:cs="Arial"/>
          <w:sz w:val="20"/>
          <w:szCs w:val="20"/>
        </w:rPr>
      </w:pPr>
      <w:r w:rsidRPr="00BA1B7B">
        <w:rPr>
          <w:rFonts w:ascii="Arial" w:hAnsi="Arial" w:cs="Arial"/>
          <w:sz w:val="20"/>
          <w:szCs w:val="20"/>
        </w:rPr>
        <w:t>Edwina Dowling - Associate Pr</w:t>
      </w:r>
      <w:r w:rsidR="00E67277" w:rsidRPr="00BA1B7B">
        <w:rPr>
          <w:rFonts w:ascii="Arial" w:hAnsi="Arial" w:cs="Arial"/>
          <w:sz w:val="20"/>
          <w:szCs w:val="20"/>
        </w:rPr>
        <w:t>ogram Director Angliss Hospital</w:t>
      </w:r>
    </w:p>
    <w:bookmarkEnd w:id="1"/>
    <w:p w14:paraId="3BAA1324" w14:textId="77777777" w:rsidR="00C72AE7" w:rsidRPr="00BA1B7B" w:rsidRDefault="00C72AE7" w:rsidP="00C72AE7">
      <w:pPr>
        <w:spacing w:after="309" w:line="276" w:lineRule="auto"/>
        <w:rPr>
          <w:rFonts w:ascii="Arial" w:hAnsi="Arial" w:cs="Arial"/>
          <w:sz w:val="20"/>
          <w:szCs w:val="20"/>
        </w:rPr>
      </w:pPr>
      <w:r w:rsidRPr="00BA1B7B">
        <w:rPr>
          <w:rFonts w:ascii="Arial" w:hAnsi="Arial" w:cs="Arial"/>
          <w:b/>
          <w:bCs/>
          <w:sz w:val="20"/>
          <w:szCs w:val="20"/>
        </w:rPr>
        <w:t>Acknowledgments</w:t>
      </w:r>
    </w:p>
    <w:p w14:paraId="06AD2433" w14:textId="525F2F74" w:rsidR="00C72AE7" w:rsidRPr="00BA1B7B" w:rsidRDefault="00C72AE7" w:rsidP="00C72AE7">
      <w:pPr>
        <w:spacing w:line="276" w:lineRule="auto"/>
        <w:ind w:right="12"/>
        <w:rPr>
          <w:rFonts w:ascii="Arial" w:hAnsi="Arial" w:cs="Arial"/>
          <w:sz w:val="20"/>
          <w:szCs w:val="20"/>
        </w:rPr>
      </w:pPr>
      <w:r w:rsidRPr="00BA1B7B">
        <w:rPr>
          <w:rFonts w:ascii="Arial" w:hAnsi="Arial" w:cs="Arial"/>
          <w:sz w:val="20"/>
          <w:szCs w:val="20"/>
        </w:rPr>
        <w:t xml:space="preserve">Danni Woolhouse – </w:t>
      </w:r>
      <w:r w:rsidR="00E67277" w:rsidRPr="00BA1B7B">
        <w:rPr>
          <w:rFonts w:ascii="Arial" w:hAnsi="Arial" w:cs="Arial"/>
          <w:sz w:val="20"/>
          <w:szCs w:val="20"/>
        </w:rPr>
        <w:t>CMC</w:t>
      </w:r>
      <w:r w:rsidRPr="00BA1B7B">
        <w:rPr>
          <w:rFonts w:ascii="Arial" w:hAnsi="Arial" w:cs="Arial"/>
          <w:sz w:val="20"/>
          <w:szCs w:val="20"/>
        </w:rPr>
        <w:t xml:space="preserve"> Angliss Hospital</w:t>
      </w:r>
      <w:r w:rsidR="00E67277" w:rsidRPr="00BA1B7B">
        <w:rPr>
          <w:rFonts w:ascii="Arial" w:hAnsi="Arial" w:cs="Arial"/>
          <w:sz w:val="20"/>
          <w:szCs w:val="20"/>
        </w:rPr>
        <w:t xml:space="preserve">. Jo Baumgartner – Midwife.  </w:t>
      </w:r>
    </w:p>
    <w:p w14:paraId="3B525D05" w14:textId="2F91066E" w:rsidR="00C72AE7" w:rsidRPr="00BA1B7B" w:rsidRDefault="00E67277" w:rsidP="00C72AE7">
      <w:pPr>
        <w:spacing w:line="276" w:lineRule="auto"/>
        <w:ind w:right="12"/>
        <w:rPr>
          <w:rFonts w:ascii="Arial" w:hAnsi="Arial" w:cs="Arial"/>
          <w:sz w:val="20"/>
          <w:szCs w:val="20"/>
        </w:rPr>
      </w:pPr>
      <w:r w:rsidRPr="00BA1B7B">
        <w:rPr>
          <w:rFonts w:ascii="Arial" w:hAnsi="Arial" w:cs="Arial"/>
          <w:sz w:val="20"/>
          <w:szCs w:val="20"/>
        </w:rPr>
        <w:t>Dr Jamie Mackay, GP. Dr Pauline Martin, GP</w:t>
      </w:r>
    </w:p>
    <w:p w14:paraId="61C74DE6" w14:textId="6140A2BA" w:rsidR="00C72AE7" w:rsidRPr="00BA1B7B" w:rsidRDefault="00C72AE7" w:rsidP="00C72AE7">
      <w:pPr>
        <w:spacing w:line="276" w:lineRule="auto"/>
        <w:ind w:right="12"/>
        <w:rPr>
          <w:rFonts w:ascii="Arial" w:hAnsi="Arial" w:cs="Arial"/>
          <w:sz w:val="20"/>
          <w:szCs w:val="20"/>
        </w:rPr>
      </w:pPr>
      <w:bookmarkStart w:id="3" w:name="_Hlk50104174"/>
      <w:r w:rsidRPr="00BA1B7B">
        <w:rPr>
          <w:rFonts w:ascii="Arial" w:hAnsi="Arial" w:cs="Arial"/>
          <w:sz w:val="20"/>
          <w:szCs w:val="20"/>
        </w:rPr>
        <w:t>Dr Chris Davenport, GP</w:t>
      </w:r>
      <w:r w:rsidR="00E67277" w:rsidRPr="00BA1B7B">
        <w:rPr>
          <w:rFonts w:ascii="Arial" w:hAnsi="Arial" w:cs="Arial"/>
          <w:sz w:val="20"/>
          <w:szCs w:val="20"/>
        </w:rPr>
        <w:t>. Dr Sara Whitburn, GP</w:t>
      </w:r>
    </w:p>
    <w:p w14:paraId="3BF5896F" w14:textId="77777777" w:rsidR="00E67277" w:rsidRPr="00BA1B7B" w:rsidRDefault="00C72AE7" w:rsidP="00E67277">
      <w:pPr>
        <w:spacing w:line="276" w:lineRule="auto"/>
        <w:ind w:right="12"/>
        <w:rPr>
          <w:rFonts w:ascii="Arial" w:hAnsi="Arial" w:cs="Arial"/>
          <w:sz w:val="20"/>
          <w:szCs w:val="20"/>
        </w:rPr>
      </w:pPr>
      <w:r w:rsidRPr="00BA1B7B">
        <w:rPr>
          <w:rFonts w:ascii="Arial" w:hAnsi="Arial" w:cs="Arial"/>
          <w:sz w:val="20"/>
          <w:szCs w:val="20"/>
        </w:rPr>
        <w:lastRenderedPageBreak/>
        <w:t>Dr Kelly Tulloch, GP</w:t>
      </w:r>
      <w:r w:rsidR="00E67277" w:rsidRPr="00BA1B7B">
        <w:rPr>
          <w:rFonts w:ascii="Arial" w:hAnsi="Arial" w:cs="Arial"/>
          <w:sz w:val="20"/>
          <w:szCs w:val="20"/>
        </w:rPr>
        <w:t>. Dr Swaroopini Thangarajah, GP</w:t>
      </w:r>
    </w:p>
    <w:bookmarkEnd w:id="3" w:displacedByCustomXml="next"/>
    <w:sdt>
      <w:sdtPr>
        <w:rPr>
          <w:rFonts w:asciiTheme="minorHAnsi" w:eastAsiaTheme="minorHAnsi" w:hAnsiTheme="minorHAnsi" w:cstheme="minorBidi"/>
          <w:color w:val="auto"/>
          <w:sz w:val="24"/>
          <w:szCs w:val="24"/>
          <w:lang w:val="en-AU"/>
        </w:rPr>
        <w:id w:val="-1245258991"/>
        <w:docPartObj>
          <w:docPartGallery w:val="Table of Contents"/>
          <w:docPartUnique/>
        </w:docPartObj>
      </w:sdtPr>
      <w:sdtEndPr>
        <w:rPr>
          <w:rFonts w:ascii="Arial" w:hAnsi="Arial" w:cs="Arial"/>
          <w:b/>
          <w:bCs/>
          <w:noProof/>
        </w:rPr>
      </w:sdtEndPr>
      <w:sdtContent>
        <w:p w14:paraId="7B3F7242" w14:textId="14494B8A" w:rsidR="00074F2F" w:rsidRPr="00BA1B7B" w:rsidRDefault="00074F2F">
          <w:pPr>
            <w:pStyle w:val="TOCHeading"/>
            <w:rPr>
              <w:rFonts w:ascii="Arial" w:eastAsiaTheme="minorHAnsi" w:hAnsi="Arial" w:cs="Arial"/>
              <w:b/>
              <w:color w:val="auto"/>
              <w:sz w:val="20"/>
              <w:szCs w:val="20"/>
            </w:rPr>
          </w:pPr>
          <w:r w:rsidRPr="00BA1B7B">
            <w:rPr>
              <w:rFonts w:ascii="Arial" w:eastAsiaTheme="minorHAnsi" w:hAnsi="Arial" w:cs="Arial"/>
              <w:b/>
              <w:color w:val="auto"/>
              <w:sz w:val="20"/>
              <w:szCs w:val="20"/>
            </w:rPr>
            <w:t>Contents</w:t>
          </w:r>
        </w:p>
        <w:p w14:paraId="4F6E27B5" w14:textId="3A828E99" w:rsidR="005B5FD7" w:rsidRDefault="00074F2F">
          <w:pPr>
            <w:pStyle w:val="TOC2"/>
            <w:tabs>
              <w:tab w:val="left" w:pos="880"/>
              <w:tab w:val="right" w:leader="dot" w:pos="9016"/>
            </w:tabs>
            <w:rPr>
              <w:rFonts w:eastAsiaTheme="minorEastAsia"/>
              <w:noProof/>
              <w:sz w:val="22"/>
              <w:szCs w:val="22"/>
              <w:lang w:eastAsia="en-AU"/>
            </w:rPr>
          </w:pPr>
          <w:r w:rsidRPr="005B5FD7">
            <w:rPr>
              <w:rFonts w:ascii="Arial" w:hAnsi="Arial" w:cs="Arial"/>
              <w:color w:val="002F86" w:themeColor="text1"/>
              <w:szCs w:val="20"/>
            </w:rPr>
            <w:fldChar w:fldCharType="begin"/>
          </w:r>
          <w:r w:rsidRPr="005B5FD7">
            <w:rPr>
              <w:rFonts w:ascii="Arial" w:hAnsi="Arial" w:cs="Arial"/>
            </w:rPr>
            <w:instrText xml:space="preserve"> TOC \o "1-3" \h \z \u </w:instrText>
          </w:r>
          <w:r w:rsidRPr="005B5FD7">
            <w:rPr>
              <w:rFonts w:ascii="Arial" w:hAnsi="Arial" w:cs="Arial"/>
              <w:color w:val="002F86" w:themeColor="text1"/>
              <w:szCs w:val="20"/>
            </w:rPr>
            <w:fldChar w:fldCharType="separate"/>
          </w:r>
          <w:hyperlink w:anchor="_Toc120614271" w:history="1">
            <w:r w:rsidR="005B5FD7" w:rsidRPr="000B6EF5">
              <w:rPr>
                <w:rStyle w:val="Hyperlink"/>
                <w:rFonts w:ascii="Arial" w:eastAsia="Times New Roman" w:hAnsi="Arial" w:cs="Arial"/>
                <w:b/>
                <w:bCs/>
                <w:noProof/>
                <w:lang w:eastAsia="en-AU"/>
              </w:rPr>
              <w:t>1.</w:t>
            </w:r>
            <w:r w:rsidR="005B5FD7">
              <w:rPr>
                <w:rFonts w:eastAsiaTheme="minorEastAsia"/>
                <w:noProof/>
                <w:sz w:val="22"/>
                <w:szCs w:val="22"/>
                <w:lang w:eastAsia="en-AU"/>
              </w:rPr>
              <w:tab/>
            </w:r>
            <w:r w:rsidR="005B5FD7" w:rsidRPr="000B6EF5">
              <w:rPr>
                <w:rStyle w:val="Hyperlink"/>
                <w:rFonts w:ascii="Arial" w:eastAsia="Times New Roman" w:hAnsi="Arial" w:cs="Arial"/>
                <w:b/>
                <w:bCs/>
                <w:noProof/>
                <w:lang w:eastAsia="en-AU"/>
              </w:rPr>
              <w:t>Eastern Health Maternity Hospital Locations</w:t>
            </w:r>
            <w:r w:rsidR="005B5FD7">
              <w:rPr>
                <w:noProof/>
                <w:webHidden/>
              </w:rPr>
              <w:tab/>
            </w:r>
            <w:r w:rsidR="005B5FD7">
              <w:rPr>
                <w:noProof/>
                <w:webHidden/>
              </w:rPr>
              <w:fldChar w:fldCharType="begin"/>
            </w:r>
            <w:r w:rsidR="005B5FD7">
              <w:rPr>
                <w:noProof/>
                <w:webHidden/>
              </w:rPr>
              <w:instrText xml:space="preserve"> PAGEREF _Toc120614271 \h </w:instrText>
            </w:r>
            <w:r w:rsidR="005B5FD7">
              <w:rPr>
                <w:noProof/>
                <w:webHidden/>
              </w:rPr>
            </w:r>
            <w:r w:rsidR="005B5FD7">
              <w:rPr>
                <w:noProof/>
                <w:webHidden/>
              </w:rPr>
              <w:fldChar w:fldCharType="separate"/>
            </w:r>
            <w:r w:rsidR="005B5FD7">
              <w:rPr>
                <w:noProof/>
                <w:webHidden/>
              </w:rPr>
              <w:t>5</w:t>
            </w:r>
            <w:r w:rsidR="005B5FD7">
              <w:rPr>
                <w:noProof/>
                <w:webHidden/>
              </w:rPr>
              <w:fldChar w:fldCharType="end"/>
            </w:r>
          </w:hyperlink>
        </w:p>
        <w:p w14:paraId="4FF62292" w14:textId="73EE0C08" w:rsidR="005B5FD7" w:rsidRDefault="00A97F97">
          <w:pPr>
            <w:pStyle w:val="TOC2"/>
            <w:tabs>
              <w:tab w:val="left" w:pos="880"/>
              <w:tab w:val="right" w:leader="dot" w:pos="9016"/>
            </w:tabs>
            <w:rPr>
              <w:rFonts w:eastAsiaTheme="minorEastAsia"/>
              <w:noProof/>
              <w:sz w:val="22"/>
              <w:szCs w:val="22"/>
              <w:lang w:eastAsia="en-AU"/>
            </w:rPr>
          </w:pPr>
          <w:hyperlink w:anchor="_Toc120614272" w:history="1">
            <w:r w:rsidR="005B5FD7" w:rsidRPr="000B6EF5">
              <w:rPr>
                <w:rStyle w:val="Hyperlink"/>
                <w:rFonts w:ascii="Arial" w:eastAsia="Times New Roman" w:hAnsi="Arial" w:cs="Arial"/>
                <w:b/>
                <w:bCs/>
                <w:noProof/>
                <w:lang w:eastAsia="en-AU"/>
              </w:rPr>
              <w:t>1.1.</w:t>
            </w:r>
            <w:r w:rsidR="005B5FD7">
              <w:rPr>
                <w:rFonts w:eastAsiaTheme="minorEastAsia"/>
                <w:noProof/>
                <w:sz w:val="22"/>
                <w:szCs w:val="22"/>
                <w:lang w:eastAsia="en-AU"/>
              </w:rPr>
              <w:tab/>
            </w:r>
            <w:r w:rsidR="005B5FD7" w:rsidRPr="000B6EF5">
              <w:rPr>
                <w:rStyle w:val="Hyperlink"/>
                <w:rFonts w:ascii="Arial" w:eastAsia="Times New Roman" w:hAnsi="Arial" w:cs="Arial"/>
                <w:b/>
                <w:bCs/>
                <w:noProof/>
                <w:lang w:eastAsia="en-AU"/>
              </w:rPr>
              <w:t>Useful Contact Details:</w:t>
            </w:r>
            <w:r w:rsidR="005B5FD7">
              <w:rPr>
                <w:noProof/>
                <w:webHidden/>
              </w:rPr>
              <w:tab/>
            </w:r>
            <w:r w:rsidR="005B5FD7">
              <w:rPr>
                <w:noProof/>
                <w:webHidden/>
              </w:rPr>
              <w:fldChar w:fldCharType="begin"/>
            </w:r>
            <w:r w:rsidR="005B5FD7">
              <w:rPr>
                <w:noProof/>
                <w:webHidden/>
              </w:rPr>
              <w:instrText xml:space="preserve"> PAGEREF _Toc120614272 \h </w:instrText>
            </w:r>
            <w:r w:rsidR="005B5FD7">
              <w:rPr>
                <w:noProof/>
                <w:webHidden/>
              </w:rPr>
            </w:r>
            <w:r w:rsidR="005B5FD7">
              <w:rPr>
                <w:noProof/>
                <w:webHidden/>
              </w:rPr>
              <w:fldChar w:fldCharType="separate"/>
            </w:r>
            <w:r w:rsidR="005B5FD7">
              <w:rPr>
                <w:noProof/>
                <w:webHidden/>
              </w:rPr>
              <w:t>6</w:t>
            </w:r>
            <w:r w:rsidR="005B5FD7">
              <w:rPr>
                <w:noProof/>
                <w:webHidden/>
              </w:rPr>
              <w:fldChar w:fldCharType="end"/>
            </w:r>
          </w:hyperlink>
        </w:p>
        <w:p w14:paraId="30991062" w14:textId="740ACBF6" w:rsidR="005B5FD7" w:rsidRDefault="00A97F97">
          <w:pPr>
            <w:pStyle w:val="TOC2"/>
            <w:tabs>
              <w:tab w:val="left" w:pos="880"/>
              <w:tab w:val="right" w:leader="dot" w:pos="9016"/>
            </w:tabs>
            <w:rPr>
              <w:rFonts w:eastAsiaTheme="minorEastAsia"/>
              <w:noProof/>
              <w:sz w:val="22"/>
              <w:szCs w:val="22"/>
              <w:lang w:eastAsia="en-AU"/>
            </w:rPr>
          </w:pPr>
          <w:hyperlink w:anchor="_Toc120614273" w:history="1">
            <w:r w:rsidR="005B5FD7" w:rsidRPr="000B6EF5">
              <w:rPr>
                <w:rStyle w:val="Hyperlink"/>
                <w:rFonts w:ascii="Arial" w:eastAsia="Times New Roman" w:hAnsi="Arial" w:cs="Arial"/>
                <w:b/>
                <w:bCs/>
                <w:noProof/>
                <w:lang w:eastAsia="en-AU"/>
              </w:rPr>
              <w:t>2.</w:t>
            </w:r>
            <w:r w:rsidR="005B5FD7">
              <w:rPr>
                <w:rFonts w:eastAsiaTheme="minorEastAsia"/>
                <w:noProof/>
                <w:sz w:val="22"/>
                <w:szCs w:val="22"/>
                <w:lang w:eastAsia="en-AU"/>
              </w:rPr>
              <w:tab/>
            </w:r>
            <w:r w:rsidR="005B5FD7" w:rsidRPr="000B6EF5">
              <w:rPr>
                <w:rStyle w:val="Hyperlink"/>
                <w:rFonts w:ascii="Arial" w:eastAsia="Times New Roman" w:hAnsi="Arial" w:cs="Arial"/>
                <w:b/>
                <w:bCs/>
                <w:noProof/>
                <w:lang w:eastAsia="en-AU"/>
              </w:rPr>
              <w:t>Shared Care at Eastern Health</w:t>
            </w:r>
            <w:r w:rsidR="005B5FD7">
              <w:rPr>
                <w:noProof/>
                <w:webHidden/>
              </w:rPr>
              <w:tab/>
            </w:r>
            <w:r w:rsidR="005B5FD7">
              <w:rPr>
                <w:noProof/>
                <w:webHidden/>
              </w:rPr>
              <w:fldChar w:fldCharType="begin"/>
            </w:r>
            <w:r w:rsidR="005B5FD7">
              <w:rPr>
                <w:noProof/>
                <w:webHidden/>
              </w:rPr>
              <w:instrText xml:space="preserve"> PAGEREF _Toc120614273 \h </w:instrText>
            </w:r>
            <w:r w:rsidR="005B5FD7">
              <w:rPr>
                <w:noProof/>
                <w:webHidden/>
              </w:rPr>
            </w:r>
            <w:r w:rsidR="005B5FD7">
              <w:rPr>
                <w:noProof/>
                <w:webHidden/>
              </w:rPr>
              <w:fldChar w:fldCharType="separate"/>
            </w:r>
            <w:r w:rsidR="005B5FD7">
              <w:rPr>
                <w:noProof/>
                <w:webHidden/>
              </w:rPr>
              <w:t>7</w:t>
            </w:r>
            <w:r w:rsidR="005B5FD7">
              <w:rPr>
                <w:noProof/>
                <w:webHidden/>
              </w:rPr>
              <w:fldChar w:fldCharType="end"/>
            </w:r>
          </w:hyperlink>
        </w:p>
        <w:p w14:paraId="7B16552B" w14:textId="0B78F414" w:rsidR="005B5FD7" w:rsidRDefault="00A97F97">
          <w:pPr>
            <w:pStyle w:val="TOC2"/>
            <w:tabs>
              <w:tab w:val="left" w:pos="880"/>
              <w:tab w:val="right" w:leader="dot" w:pos="9016"/>
            </w:tabs>
            <w:rPr>
              <w:rFonts w:eastAsiaTheme="minorEastAsia"/>
              <w:noProof/>
              <w:sz w:val="22"/>
              <w:szCs w:val="22"/>
              <w:lang w:eastAsia="en-AU"/>
            </w:rPr>
          </w:pPr>
          <w:hyperlink w:anchor="_Toc120614274" w:history="1">
            <w:r w:rsidR="005B5FD7" w:rsidRPr="000B6EF5">
              <w:rPr>
                <w:rStyle w:val="Hyperlink"/>
                <w:rFonts w:ascii="Arial" w:eastAsia="Times New Roman" w:hAnsi="Arial" w:cs="Arial"/>
                <w:b/>
                <w:bCs/>
                <w:noProof/>
                <w:lang w:eastAsia="en-AU"/>
              </w:rPr>
              <w:t>2.1.</w:t>
            </w:r>
            <w:r w:rsidR="005B5FD7">
              <w:rPr>
                <w:rFonts w:eastAsiaTheme="minorEastAsia"/>
                <w:noProof/>
                <w:sz w:val="22"/>
                <w:szCs w:val="22"/>
                <w:lang w:eastAsia="en-AU"/>
              </w:rPr>
              <w:tab/>
            </w:r>
            <w:r w:rsidR="005B5FD7" w:rsidRPr="000B6EF5">
              <w:rPr>
                <w:rStyle w:val="Hyperlink"/>
                <w:rFonts w:ascii="Arial" w:eastAsia="Times New Roman" w:hAnsi="Arial" w:cs="Arial"/>
                <w:b/>
                <w:bCs/>
                <w:noProof/>
                <w:lang w:eastAsia="en-AU"/>
              </w:rPr>
              <w:t>Requirements for becoming a shared care provider at Eastern Health</w:t>
            </w:r>
            <w:r w:rsidR="005B5FD7">
              <w:rPr>
                <w:noProof/>
                <w:webHidden/>
              </w:rPr>
              <w:tab/>
            </w:r>
            <w:r w:rsidR="005B5FD7">
              <w:rPr>
                <w:noProof/>
                <w:webHidden/>
              </w:rPr>
              <w:fldChar w:fldCharType="begin"/>
            </w:r>
            <w:r w:rsidR="005B5FD7">
              <w:rPr>
                <w:noProof/>
                <w:webHidden/>
              </w:rPr>
              <w:instrText xml:space="preserve"> PAGEREF _Toc120614274 \h </w:instrText>
            </w:r>
            <w:r w:rsidR="005B5FD7">
              <w:rPr>
                <w:noProof/>
                <w:webHidden/>
              </w:rPr>
            </w:r>
            <w:r w:rsidR="005B5FD7">
              <w:rPr>
                <w:noProof/>
                <w:webHidden/>
              </w:rPr>
              <w:fldChar w:fldCharType="separate"/>
            </w:r>
            <w:r w:rsidR="005B5FD7">
              <w:rPr>
                <w:noProof/>
                <w:webHidden/>
              </w:rPr>
              <w:t>7</w:t>
            </w:r>
            <w:r w:rsidR="005B5FD7">
              <w:rPr>
                <w:noProof/>
                <w:webHidden/>
              </w:rPr>
              <w:fldChar w:fldCharType="end"/>
            </w:r>
          </w:hyperlink>
        </w:p>
        <w:p w14:paraId="22CE3D19" w14:textId="5D3802FD" w:rsidR="005B5FD7" w:rsidRDefault="00A97F97">
          <w:pPr>
            <w:pStyle w:val="TOC2"/>
            <w:tabs>
              <w:tab w:val="left" w:pos="880"/>
              <w:tab w:val="right" w:leader="dot" w:pos="9016"/>
            </w:tabs>
            <w:rPr>
              <w:rFonts w:eastAsiaTheme="minorEastAsia"/>
              <w:noProof/>
              <w:sz w:val="22"/>
              <w:szCs w:val="22"/>
              <w:lang w:eastAsia="en-AU"/>
            </w:rPr>
          </w:pPr>
          <w:hyperlink w:anchor="_Toc120614275" w:history="1">
            <w:r w:rsidR="005B5FD7" w:rsidRPr="000B6EF5">
              <w:rPr>
                <w:rStyle w:val="Hyperlink"/>
                <w:rFonts w:ascii="Arial" w:eastAsia="Times New Roman" w:hAnsi="Arial" w:cs="Arial"/>
                <w:b/>
                <w:bCs/>
                <w:noProof/>
                <w:lang w:eastAsia="en-AU"/>
              </w:rPr>
              <w:t>2.2.</w:t>
            </w:r>
            <w:r w:rsidR="005B5FD7">
              <w:rPr>
                <w:rFonts w:eastAsiaTheme="minorEastAsia"/>
                <w:noProof/>
                <w:sz w:val="22"/>
                <w:szCs w:val="22"/>
                <w:lang w:eastAsia="en-AU"/>
              </w:rPr>
              <w:tab/>
            </w:r>
            <w:r w:rsidR="005B5FD7" w:rsidRPr="000B6EF5">
              <w:rPr>
                <w:rStyle w:val="Hyperlink"/>
                <w:rFonts w:ascii="Arial" w:eastAsia="Times New Roman" w:hAnsi="Arial" w:cs="Arial"/>
                <w:b/>
                <w:bCs/>
                <w:noProof/>
                <w:lang w:eastAsia="en-AU"/>
              </w:rPr>
              <w:t>Reaccreditation as GP shared care provider</w:t>
            </w:r>
            <w:r w:rsidR="005B5FD7">
              <w:rPr>
                <w:noProof/>
                <w:webHidden/>
              </w:rPr>
              <w:tab/>
            </w:r>
            <w:r w:rsidR="005B5FD7">
              <w:rPr>
                <w:noProof/>
                <w:webHidden/>
              </w:rPr>
              <w:fldChar w:fldCharType="begin"/>
            </w:r>
            <w:r w:rsidR="005B5FD7">
              <w:rPr>
                <w:noProof/>
                <w:webHidden/>
              </w:rPr>
              <w:instrText xml:space="preserve"> PAGEREF _Toc120614275 \h </w:instrText>
            </w:r>
            <w:r w:rsidR="005B5FD7">
              <w:rPr>
                <w:noProof/>
                <w:webHidden/>
              </w:rPr>
            </w:r>
            <w:r w:rsidR="005B5FD7">
              <w:rPr>
                <w:noProof/>
                <w:webHidden/>
              </w:rPr>
              <w:fldChar w:fldCharType="separate"/>
            </w:r>
            <w:r w:rsidR="005B5FD7">
              <w:rPr>
                <w:noProof/>
                <w:webHidden/>
              </w:rPr>
              <w:t>7</w:t>
            </w:r>
            <w:r w:rsidR="005B5FD7">
              <w:rPr>
                <w:noProof/>
                <w:webHidden/>
              </w:rPr>
              <w:fldChar w:fldCharType="end"/>
            </w:r>
          </w:hyperlink>
        </w:p>
        <w:p w14:paraId="5D0A9FE7" w14:textId="13927E3D" w:rsidR="005B5FD7" w:rsidRDefault="00A97F97">
          <w:pPr>
            <w:pStyle w:val="TOC2"/>
            <w:tabs>
              <w:tab w:val="left" w:pos="880"/>
              <w:tab w:val="right" w:leader="dot" w:pos="9016"/>
            </w:tabs>
            <w:rPr>
              <w:rFonts w:eastAsiaTheme="minorEastAsia"/>
              <w:noProof/>
              <w:sz w:val="22"/>
              <w:szCs w:val="22"/>
              <w:lang w:eastAsia="en-AU"/>
            </w:rPr>
          </w:pPr>
          <w:hyperlink w:anchor="_Toc120614276" w:history="1">
            <w:r w:rsidR="005B5FD7" w:rsidRPr="000B6EF5">
              <w:rPr>
                <w:rStyle w:val="Hyperlink"/>
                <w:rFonts w:ascii="Arial" w:eastAsia="Times New Roman" w:hAnsi="Arial" w:cs="Arial"/>
                <w:b/>
                <w:bCs/>
                <w:noProof/>
                <w:lang w:eastAsia="en-AU"/>
              </w:rPr>
              <w:t>2.3.</w:t>
            </w:r>
            <w:r w:rsidR="005B5FD7">
              <w:rPr>
                <w:rFonts w:eastAsiaTheme="minorEastAsia"/>
                <w:noProof/>
                <w:sz w:val="22"/>
                <w:szCs w:val="22"/>
                <w:lang w:eastAsia="en-AU"/>
              </w:rPr>
              <w:tab/>
            </w:r>
            <w:r w:rsidR="005B5FD7" w:rsidRPr="000B6EF5">
              <w:rPr>
                <w:rStyle w:val="Hyperlink"/>
                <w:rFonts w:ascii="Arial" w:eastAsia="Times New Roman" w:hAnsi="Arial" w:cs="Arial"/>
                <w:b/>
                <w:bCs/>
                <w:noProof/>
                <w:lang w:eastAsia="en-AU"/>
              </w:rPr>
              <w:t>Responsibilities of the GP shared care</w:t>
            </w:r>
            <w:r w:rsidR="005B5FD7">
              <w:rPr>
                <w:noProof/>
                <w:webHidden/>
              </w:rPr>
              <w:tab/>
            </w:r>
            <w:r w:rsidR="005B5FD7">
              <w:rPr>
                <w:noProof/>
                <w:webHidden/>
              </w:rPr>
              <w:fldChar w:fldCharType="begin"/>
            </w:r>
            <w:r w:rsidR="005B5FD7">
              <w:rPr>
                <w:noProof/>
                <w:webHidden/>
              </w:rPr>
              <w:instrText xml:space="preserve"> PAGEREF _Toc120614276 \h </w:instrText>
            </w:r>
            <w:r w:rsidR="005B5FD7">
              <w:rPr>
                <w:noProof/>
                <w:webHidden/>
              </w:rPr>
            </w:r>
            <w:r w:rsidR="005B5FD7">
              <w:rPr>
                <w:noProof/>
                <w:webHidden/>
              </w:rPr>
              <w:fldChar w:fldCharType="separate"/>
            </w:r>
            <w:r w:rsidR="005B5FD7">
              <w:rPr>
                <w:noProof/>
                <w:webHidden/>
              </w:rPr>
              <w:t>8</w:t>
            </w:r>
            <w:r w:rsidR="005B5FD7">
              <w:rPr>
                <w:noProof/>
                <w:webHidden/>
              </w:rPr>
              <w:fldChar w:fldCharType="end"/>
            </w:r>
          </w:hyperlink>
        </w:p>
        <w:p w14:paraId="7BA5471E" w14:textId="60352141" w:rsidR="005B5FD7" w:rsidRDefault="00A97F97">
          <w:pPr>
            <w:pStyle w:val="TOC2"/>
            <w:tabs>
              <w:tab w:val="right" w:leader="dot" w:pos="9016"/>
            </w:tabs>
            <w:rPr>
              <w:rFonts w:eastAsiaTheme="minorEastAsia"/>
              <w:noProof/>
              <w:sz w:val="22"/>
              <w:szCs w:val="22"/>
              <w:lang w:eastAsia="en-AU"/>
            </w:rPr>
          </w:pPr>
          <w:hyperlink w:anchor="_Toc120614277" w:history="1">
            <w:r w:rsidR="005B5FD7" w:rsidRPr="000B6EF5">
              <w:rPr>
                <w:rStyle w:val="Hyperlink"/>
                <w:rFonts w:ascii="Arial" w:eastAsia="Times New Roman" w:hAnsi="Arial" w:cs="Arial"/>
                <w:b/>
                <w:bCs/>
                <w:noProof/>
                <w:lang w:eastAsia="en-AU"/>
              </w:rPr>
              <w:t>3.0 Pre-Pregnancy Care</w:t>
            </w:r>
            <w:r w:rsidR="005B5FD7">
              <w:rPr>
                <w:noProof/>
                <w:webHidden/>
              </w:rPr>
              <w:tab/>
            </w:r>
            <w:r w:rsidR="005B5FD7">
              <w:rPr>
                <w:noProof/>
                <w:webHidden/>
              </w:rPr>
              <w:fldChar w:fldCharType="begin"/>
            </w:r>
            <w:r w:rsidR="005B5FD7">
              <w:rPr>
                <w:noProof/>
                <w:webHidden/>
              </w:rPr>
              <w:instrText xml:space="preserve"> PAGEREF _Toc120614277 \h </w:instrText>
            </w:r>
            <w:r w:rsidR="005B5FD7">
              <w:rPr>
                <w:noProof/>
                <w:webHidden/>
              </w:rPr>
            </w:r>
            <w:r w:rsidR="005B5FD7">
              <w:rPr>
                <w:noProof/>
                <w:webHidden/>
              </w:rPr>
              <w:fldChar w:fldCharType="separate"/>
            </w:r>
            <w:r w:rsidR="005B5FD7">
              <w:rPr>
                <w:noProof/>
                <w:webHidden/>
              </w:rPr>
              <w:t>8</w:t>
            </w:r>
            <w:r w:rsidR="005B5FD7">
              <w:rPr>
                <w:noProof/>
                <w:webHidden/>
              </w:rPr>
              <w:fldChar w:fldCharType="end"/>
            </w:r>
          </w:hyperlink>
        </w:p>
        <w:p w14:paraId="0EA640D0" w14:textId="539C5FB1" w:rsidR="005B5FD7" w:rsidRDefault="00A97F97">
          <w:pPr>
            <w:pStyle w:val="TOC2"/>
            <w:tabs>
              <w:tab w:val="right" w:leader="dot" w:pos="9016"/>
            </w:tabs>
            <w:rPr>
              <w:rFonts w:eastAsiaTheme="minorEastAsia"/>
              <w:noProof/>
              <w:sz w:val="22"/>
              <w:szCs w:val="22"/>
              <w:lang w:eastAsia="en-AU"/>
            </w:rPr>
          </w:pPr>
          <w:hyperlink w:anchor="_Toc120614278" w:history="1">
            <w:r w:rsidR="005B5FD7" w:rsidRPr="000B6EF5">
              <w:rPr>
                <w:rStyle w:val="Hyperlink"/>
                <w:rFonts w:ascii="Arial" w:eastAsia="Times New Roman" w:hAnsi="Arial" w:cs="Arial"/>
                <w:b/>
                <w:bCs/>
                <w:noProof/>
                <w:lang w:eastAsia="en-AU"/>
              </w:rPr>
              <w:t>COVID-19 vaccines are safe during pregnancy</w:t>
            </w:r>
            <w:r w:rsidR="005B5FD7">
              <w:rPr>
                <w:noProof/>
                <w:webHidden/>
              </w:rPr>
              <w:tab/>
            </w:r>
            <w:r w:rsidR="005B5FD7">
              <w:rPr>
                <w:noProof/>
                <w:webHidden/>
              </w:rPr>
              <w:fldChar w:fldCharType="begin"/>
            </w:r>
            <w:r w:rsidR="005B5FD7">
              <w:rPr>
                <w:noProof/>
                <w:webHidden/>
              </w:rPr>
              <w:instrText xml:space="preserve"> PAGEREF _Toc120614278 \h </w:instrText>
            </w:r>
            <w:r w:rsidR="005B5FD7">
              <w:rPr>
                <w:noProof/>
                <w:webHidden/>
              </w:rPr>
            </w:r>
            <w:r w:rsidR="005B5FD7">
              <w:rPr>
                <w:noProof/>
                <w:webHidden/>
              </w:rPr>
              <w:fldChar w:fldCharType="separate"/>
            </w:r>
            <w:r w:rsidR="005B5FD7">
              <w:rPr>
                <w:noProof/>
                <w:webHidden/>
              </w:rPr>
              <w:t>8</w:t>
            </w:r>
            <w:r w:rsidR="005B5FD7">
              <w:rPr>
                <w:noProof/>
                <w:webHidden/>
              </w:rPr>
              <w:fldChar w:fldCharType="end"/>
            </w:r>
          </w:hyperlink>
        </w:p>
        <w:p w14:paraId="1B11293B" w14:textId="1BB626A7" w:rsidR="005B5FD7" w:rsidRDefault="00A97F97">
          <w:pPr>
            <w:pStyle w:val="TOC2"/>
            <w:tabs>
              <w:tab w:val="right" w:leader="dot" w:pos="9016"/>
            </w:tabs>
            <w:rPr>
              <w:rFonts w:eastAsiaTheme="minorEastAsia"/>
              <w:noProof/>
              <w:sz w:val="22"/>
              <w:szCs w:val="22"/>
              <w:lang w:eastAsia="en-AU"/>
            </w:rPr>
          </w:pPr>
          <w:hyperlink w:anchor="_Toc120614279" w:history="1">
            <w:r w:rsidR="005B5FD7" w:rsidRPr="000B6EF5">
              <w:rPr>
                <w:rStyle w:val="Hyperlink"/>
                <w:rFonts w:ascii="Arial" w:eastAsia="Times New Roman" w:hAnsi="Arial" w:cs="Arial"/>
                <w:b/>
                <w:bCs/>
                <w:noProof/>
                <w:lang w:eastAsia="en-AU"/>
              </w:rPr>
              <w:t>Protection from COVID-19 for your baby</w:t>
            </w:r>
            <w:r w:rsidR="005B5FD7">
              <w:rPr>
                <w:noProof/>
                <w:webHidden/>
              </w:rPr>
              <w:tab/>
            </w:r>
            <w:r w:rsidR="005B5FD7">
              <w:rPr>
                <w:noProof/>
                <w:webHidden/>
              </w:rPr>
              <w:fldChar w:fldCharType="begin"/>
            </w:r>
            <w:r w:rsidR="005B5FD7">
              <w:rPr>
                <w:noProof/>
                <w:webHidden/>
              </w:rPr>
              <w:instrText xml:space="preserve"> PAGEREF _Toc120614279 \h </w:instrText>
            </w:r>
            <w:r w:rsidR="005B5FD7">
              <w:rPr>
                <w:noProof/>
                <w:webHidden/>
              </w:rPr>
            </w:r>
            <w:r w:rsidR="005B5FD7">
              <w:rPr>
                <w:noProof/>
                <w:webHidden/>
              </w:rPr>
              <w:fldChar w:fldCharType="separate"/>
            </w:r>
            <w:r w:rsidR="005B5FD7">
              <w:rPr>
                <w:noProof/>
                <w:webHidden/>
              </w:rPr>
              <w:t>9</w:t>
            </w:r>
            <w:r w:rsidR="005B5FD7">
              <w:rPr>
                <w:noProof/>
                <w:webHidden/>
              </w:rPr>
              <w:fldChar w:fldCharType="end"/>
            </w:r>
          </w:hyperlink>
        </w:p>
        <w:p w14:paraId="7C6782B7" w14:textId="5BABDA84" w:rsidR="005B5FD7" w:rsidRDefault="00A97F97">
          <w:pPr>
            <w:pStyle w:val="TOC2"/>
            <w:tabs>
              <w:tab w:val="right" w:leader="dot" w:pos="9016"/>
            </w:tabs>
            <w:rPr>
              <w:rFonts w:eastAsiaTheme="minorEastAsia"/>
              <w:noProof/>
              <w:sz w:val="22"/>
              <w:szCs w:val="22"/>
              <w:lang w:eastAsia="en-AU"/>
            </w:rPr>
          </w:pPr>
          <w:hyperlink w:anchor="_Toc120614280" w:history="1">
            <w:r w:rsidR="005B5FD7" w:rsidRPr="000B6EF5">
              <w:rPr>
                <w:rStyle w:val="Hyperlink"/>
                <w:rFonts w:ascii="Arial" w:eastAsia="Times New Roman" w:hAnsi="Arial" w:cs="Arial"/>
                <w:b/>
                <w:bCs/>
                <w:noProof/>
                <w:lang w:eastAsia="en-AU"/>
              </w:rPr>
              <w:t>Third and booster doses during pregnancy</w:t>
            </w:r>
            <w:r w:rsidR="005B5FD7">
              <w:rPr>
                <w:noProof/>
                <w:webHidden/>
              </w:rPr>
              <w:tab/>
            </w:r>
            <w:r w:rsidR="005B5FD7">
              <w:rPr>
                <w:noProof/>
                <w:webHidden/>
              </w:rPr>
              <w:fldChar w:fldCharType="begin"/>
            </w:r>
            <w:r w:rsidR="005B5FD7">
              <w:rPr>
                <w:noProof/>
                <w:webHidden/>
              </w:rPr>
              <w:instrText xml:space="preserve"> PAGEREF _Toc120614280 \h </w:instrText>
            </w:r>
            <w:r w:rsidR="005B5FD7">
              <w:rPr>
                <w:noProof/>
                <w:webHidden/>
              </w:rPr>
            </w:r>
            <w:r w:rsidR="005B5FD7">
              <w:rPr>
                <w:noProof/>
                <w:webHidden/>
              </w:rPr>
              <w:fldChar w:fldCharType="separate"/>
            </w:r>
            <w:r w:rsidR="005B5FD7">
              <w:rPr>
                <w:noProof/>
                <w:webHidden/>
              </w:rPr>
              <w:t>9</w:t>
            </w:r>
            <w:r w:rsidR="005B5FD7">
              <w:rPr>
                <w:noProof/>
                <w:webHidden/>
              </w:rPr>
              <w:fldChar w:fldCharType="end"/>
            </w:r>
          </w:hyperlink>
        </w:p>
        <w:p w14:paraId="2A0E8EDB" w14:textId="2B8766FF" w:rsidR="005B5FD7" w:rsidRDefault="00A97F97">
          <w:pPr>
            <w:pStyle w:val="TOC2"/>
            <w:tabs>
              <w:tab w:val="right" w:leader="dot" w:pos="9016"/>
            </w:tabs>
            <w:rPr>
              <w:rFonts w:eastAsiaTheme="minorEastAsia"/>
              <w:noProof/>
              <w:sz w:val="22"/>
              <w:szCs w:val="22"/>
              <w:lang w:eastAsia="en-AU"/>
            </w:rPr>
          </w:pPr>
          <w:hyperlink w:anchor="_Toc120614281" w:history="1">
            <w:r w:rsidR="005B5FD7" w:rsidRPr="000B6EF5">
              <w:rPr>
                <w:rStyle w:val="Hyperlink"/>
                <w:rFonts w:ascii="Arial" w:eastAsia="Times New Roman" w:hAnsi="Arial" w:cs="Arial"/>
                <w:b/>
                <w:bCs/>
                <w:noProof/>
                <w:lang w:eastAsia="en-AU"/>
              </w:rPr>
              <w:t>Vaccination after COVID-19</w:t>
            </w:r>
            <w:r w:rsidR="005B5FD7">
              <w:rPr>
                <w:noProof/>
                <w:webHidden/>
              </w:rPr>
              <w:tab/>
            </w:r>
            <w:r w:rsidR="005B5FD7">
              <w:rPr>
                <w:noProof/>
                <w:webHidden/>
              </w:rPr>
              <w:fldChar w:fldCharType="begin"/>
            </w:r>
            <w:r w:rsidR="005B5FD7">
              <w:rPr>
                <w:noProof/>
                <w:webHidden/>
              </w:rPr>
              <w:instrText xml:space="preserve"> PAGEREF _Toc120614281 \h </w:instrText>
            </w:r>
            <w:r w:rsidR="005B5FD7">
              <w:rPr>
                <w:noProof/>
                <w:webHidden/>
              </w:rPr>
            </w:r>
            <w:r w:rsidR="005B5FD7">
              <w:rPr>
                <w:noProof/>
                <w:webHidden/>
              </w:rPr>
              <w:fldChar w:fldCharType="separate"/>
            </w:r>
            <w:r w:rsidR="005B5FD7">
              <w:rPr>
                <w:noProof/>
                <w:webHidden/>
              </w:rPr>
              <w:t>9</w:t>
            </w:r>
            <w:r w:rsidR="005B5FD7">
              <w:rPr>
                <w:noProof/>
                <w:webHidden/>
              </w:rPr>
              <w:fldChar w:fldCharType="end"/>
            </w:r>
          </w:hyperlink>
        </w:p>
        <w:p w14:paraId="0B8B4273" w14:textId="4896B2BF" w:rsidR="005B5FD7" w:rsidRDefault="00A97F97">
          <w:pPr>
            <w:pStyle w:val="TOC2"/>
            <w:tabs>
              <w:tab w:val="right" w:leader="dot" w:pos="9016"/>
            </w:tabs>
            <w:rPr>
              <w:rFonts w:eastAsiaTheme="minorEastAsia"/>
              <w:noProof/>
              <w:sz w:val="22"/>
              <w:szCs w:val="22"/>
              <w:lang w:eastAsia="en-AU"/>
            </w:rPr>
          </w:pPr>
          <w:hyperlink w:anchor="_Toc120614282" w:history="1">
            <w:r w:rsidR="005B5FD7" w:rsidRPr="000B6EF5">
              <w:rPr>
                <w:rStyle w:val="Hyperlink"/>
                <w:rFonts w:ascii="Arial" w:eastAsia="Times New Roman" w:hAnsi="Arial" w:cs="Arial"/>
                <w:b/>
                <w:bCs/>
                <w:noProof/>
                <w:lang w:eastAsia="en-AU"/>
              </w:rPr>
              <w:t>Staying up to date</w:t>
            </w:r>
            <w:r w:rsidR="005B5FD7">
              <w:rPr>
                <w:noProof/>
                <w:webHidden/>
              </w:rPr>
              <w:tab/>
            </w:r>
            <w:r w:rsidR="005B5FD7">
              <w:rPr>
                <w:noProof/>
                <w:webHidden/>
              </w:rPr>
              <w:fldChar w:fldCharType="begin"/>
            </w:r>
            <w:r w:rsidR="005B5FD7">
              <w:rPr>
                <w:noProof/>
                <w:webHidden/>
              </w:rPr>
              <w:instrText xml:space="preserve"> PAGEREF _Toc120614282 \h </w:instrText>
            </w:r>
            <w:r w:rsidR="005B5FD7">
              <w:rPr>
                <w:noProof/>
                <w:webHidden/>
              </w:rPr>
            </w:r>
            <w:r w:rsidR="005B5FD7">
              <w:rPr>
                <w:noProof/>
                <w:webHidden/>
              </w:rPr>
              <w:fldChar w:fldCharType="separate"/>
            </w:r>
            <w:r w:rsidR="005B5FD7">
              <w:rPr>
                <w:noProof/>
                <w:webHidden/>
              </w:rPr>
              <w:t>9</w:t>
            </w:r>
            <w:r w:rsidR="005B5FD7">
              <w:rPr>
                <w:noProof/>
                <w:webHidden/>
              </w:rPr>
              <w:fldChar w:fldCharType="end"/>
            </w:r>
          </w:hyperlink>
        </w:p>
        <w:p w14:paraId="7880F5EA" w14:textId="10BFDC37" w:rsidR="005B5FD7" w:rsidRDefault="00A97F97">
          <w:pPr>
            <w:pStyle w:val="TOC2"/>
            <w:tabs>
              <w:tab w:val="right" w:leader="dot" w:pos="9016"/>
            </w:tabs>
            <w:rPr>
              <w:rFonts w:eastAsiaTheme="minorEastAsia"/>
              <w:noProof/>
              <w:sz w:val="22"/>
              <w:szCs w:val="22"/>
              <w:lang w:eastAsia="en-AU"/>
            </w:rPr>
          </w:pPr>
          <w:hyperlink w:anchor="_Toc120614283" w:history="1">
            <w:r w:rsidR="005B5FD7" w:rsidRPr="000B6EF5">
              <w:rPr>
                <w:rStyle w:val="Hyperlink"/>
                <w:rFonts w:ascii="Arial" w:eastAsia="Times New Roman" w:hAnsi="Arial" w:cs="Arial"/>
                <w:b/>
                <w:bCs/>
                <w:noProof/>
                <w:lang w:eastAsia="en-AU"/>
              </w:rPr>
              <w:t>Side effects after COVID-19 vaccination during pregnancy</w:t>
            </w:r>
            <w:r w:rsidR="005B5FD7">
              <w:rPr>
                <w:noProof/>
                <w:webHidden/>
              </w:rPr>
              <w:tab/>
            </w:r>
            <w:r w:rsidR="005B5FD7">
              <w:rPr>
                <w:noProof/>
                <w:webHidden/>
              </w:rPr>
              <w:fldChar w:fldCharType="begin"/>
            </w:r>
            <w:r w:rsidR="005B5FD7">
              <w:rPr>
                <w:noProof/>
                <w:webHidden/>
              </w:rPr>
              <w:instrText xml:space="preserve"> PAGEREF _Toc120614283 \h </w:instrText>
            </w:r>
            <w:r w:rsidR="005B5FD7">
              <w:rPr>
                <w:noProof/>
                <w:webHidden/>
              </w:rPr>
            </w:r>
            <w:r w:rsidR="005B5FD7">
              <w:rPr>
                <w:noProof/>
                <w:webHidden/>
              </w:rPr>
              <w:fldChar w:fldCharType="separate"/>
            </w:r>
            <w:r w:rsidR="005B5FD7">
              <w:rPr>
                <w:noProof/>
                <w:webHidden/>
              </w:rPr>
              <w:t>9</w:t>
            </w:r>
            <w:r w:rsidR="005B5FD7">
              <w:rPr>
                <w:noProof/>
                <w:webHidden/>
              </w:rPr>
              <w:fldChar w:fldCharType="end"/>
            </w:r>
          </w:hyperlink>
        </w:p>
        <w:p w14:paraId="0666FE6F" w14:textId="6192D536" w:rsidR="005B5FD7" w:rsidRDefault="00A97F97">
          <w:pPr>
            <w:pStyle w:val="TOC2"/>
            <w:tabs>
              <w:tab w:val="right" w:leader="dot" w:pos="9016"/>
            </w:tabs>
            <w:rPr>
              <w:rFonts w:eastAsiaTheme="minorEastAsia"/>
              <w:noProof/>
              <w:sz w:val="22"/>
              <w:szCs w:val="22"/>
              <w:lang w:eastAsia="en-AU"/>
            </w:rPr>
          </w:pPr>
          <w:hyperlink w:anchor="_Toc120614284" w:history="1">
            <w:r w:rsidR="005B5FD7" w:rsidRPr="000B6EF5">
              <w:rPr>
                <w:rStyle w:val="Hyperlink"/>
                <w:rFonts w:ascii="Arial" w:eastAsia="Times New Roman" w:hAnsi="Arial" w:cs="Arial"/>
                <w:b/>
                <w:noProof/>
                <w:lang w:eastAsia="en-AU"/>
              </w:rPr>
              <w:t>Why the advice has changed?</w:t>
            </w:r>
            <w:r w:rsidR="005B5FD7">
              <w:rPr>
                <w:noProof/>
                <w:webHidden/>
              </w:rPr>
              <w:tab/>
            </w:r>
            <w:r w:rsidR="005B5FD7">
              <w:rPr>
                <w:noProof/>
                <w:webHidden/>
              </w:rPr>
              <w:fldChar w:fldCharType="begin"/>
            </w:r>
            <w:r w:rsidR="005B5FD7">
              <w:rPr>
                <w:noProof/>
                <w:webHidden/>
              </w:rPr>
              <w:instrText xml:space="preserve"> PAGEREF _Toc120614284 \h </w:instrText>
            </w:r>
            <w:r w:rsidR="005B5FD7">
              <w:rPr>
                <w:noProof/>
                <w:webHidden/>
              </w:rPr>
            </w:r>
            <w:r w:rsidR="005B5FD7">
              <w:rPr>
                <w:noProof/>
                <w:webHidden/>
              </w:rPr>
              <w:fldChar w:fldCharType="separate"/>
            </w:r>
            <w:r w:rsidR="005B5FD7">
              <w:rPr>
                <w:noProof/>
                <w:webHidden/>
              </w:rPr>
              <w:t>10</w:t>
            </w:r>
            <w:r w:rsidR="005B5FD7">
              <w:rPr>
                <w:noProof/>
                <w:webHidden/>
              </w:rPr>
              <w:fldChar w:fldCharType="end"/>
            </w:r>
          </w:hyperlink>
        </w:p>
        <w:p w14:paraId="383B9582" w14:textId="4CAE66EC" w:rsidR="005B5FD7" w:rsidRDefault="00A97F97">
          <w:pPr>
            <w:pStyle w:val="TOC2"/>
            <w:tabs>
              <w:tab w:val="right" w:leader="dot" w:pos="9016"/>
            </w:tabs>
            <w:rPr>
              <w:rFonts w:eastAsiaTheme="minorEastAsia"/>
              <w:noProof/>
              <w:sz w:val="22"/>
              <w:szCs w:val="22"/>
              <w:lang w:eastAsia="en-AU"/>
            </w:rPr>
          </w:pPr>
          <w:hyperlink w:anchor="_Toc120614285" w:history="1">
            <w:r w:rsidR="005B5FD7" w:rsidRPr="000B6EF5">
              <w:rPr>
                <w:rStyle w:val="Hyperlink"/>
                <w:rFonts w:ascii="Arial" w:eastAsia="Times New Roman" w:hAnsi="Arial" w:cs="Arial"/>
                <w:b/>
                <w:bCs/>
                <w:noProof/>
                <w:lang w:eastAsia="en-AU"/>
              </w:rPr>
              <w:t>Getting more information</w:t>
            </w:r>
            <w:r w:rsidR="005B5FD7">
              <w:rPr>
                <w:noProof/>
                <w:webHidden/>
              </w:rPr>
              <w:tab/>
            </w:r>
            <w:r w:rsidR="005B5FD7">
              <w:rPr>
                <w:noProof/>
                <w:webHidden/>
              </w:rPr>
              <w:fldChar w:fldCharType="begin"/>
            </w:r>
            <w:r w:rsidR="005B5FD7">
              <w:rPr>
                <w:noProof/>
                <w:webHidden/>
              </w:rPr>
              <w:instrText xml:space="preserve"> PAGEREF _Toc120614285 \h </w:instrText>
            </w:r>
            <w:r w:rsidR="005B5FD7">
              <w:rPr>
                <w:noProof/>
                <w:webHidden/>
              </w:rPr>
            </w:r>
            <w:r w:rsidR="005B5FD7">
              <w:rPr>
                <w:noProof/>
                <w:webHidden/>
              </w:rPr>
              <w:fldChar w:fldCharType="separate"/>
            </w:r>
            <w:r w:rsidR="005B5FD7">
              <w:rPr>
                <w:noProof/>
                <w:webHidden/>
              </w:rPr>
              <w:t>10</w:t>
            </w:r>
            <w:r w:rsidR="005B5FD7">
              <w:rPr>
                <w:noProof/>
                <w:webHidden/>
              </w:rPr>
              <w:fldChar w:fldCharType="end"/>
            </w:r>
          </w:hyperlink>
        </w:p>
        <w:p w14:paraId="60E36402" w14:textId="182899F4" w:rsidR="005B5FD7" w:rsidRDefault="00A97F97">
          <w:pPr>
            <w:pStyle w:val="TOC2"/>
            <w:tabs>
              <w:tab w:val="right" w:leader="dot" w:pos="9016"/>
            </w:tabs>
            <w:rPr>
              <w:rFonts w:eastAsiaTheme="minorEastAsia"/>
              <w:noProof/>
              <w:sz w:val="22"/>
              <w:szCs w:val="22"/>
              <w:lang w:eastAsia="en-AU"/>
            </w:rPr>
          </w:pPr>
          <w:hyperlink w:anchor="_Toc120614286" w:history="1">
            <w:r w:rsidR="005B5FD7" w:rsidRPr="000B6EF5">
              <w:rPr>
                <w:rStyle w:val="Hyperlink"/>
                <w:rFonts w:ascii="Arial" w:eastAsia="Times New Roman" w:hAnsi="Arial" w:cs="Arial"/>
                <w:b/>
                <w:bCs/>
                <w:noProof/>
                <w:lang w:eastAsia="en-AU"/>
              </w:rPr>
              <w:t>4.0 Early Pregnancy and Standard Schedule of Visits and Investigations for GP shared care</w:t>
            </w:r>
            <w:r w:rsidR="005B5FD7">
              <w:rPr>
                <w:noProof/>
                <w:webHidden/>
              </w:rPr>
              <w:tab/>
            </w:r>
            <w:r w:rsidR="005B5FD7">
              <w:rPr>
                <w:noProof/>
                <w:webHidden/>
              </w:rPr>
              <w:fldChar w:fldCharType="begin"/>
            </w:r>
            <w:r w:rsidR="005B5FD7">
              <w:rPr>
                <w:noProof/>
                <w:webHidden/>
              </w:rPr>
              <w:instrText xml:space="preserve"> PAGEREF _Toc120614286 \h </w:instrText>
            </w:r>
            <w:r w:rsidR="005B5FD7">
              <w:rPr>
                <w:noProof/>
                <w:webHidden/>
              </w:rPr>
            </w:r>
            <w:r w:rsidR="005B5FD7">
              <w:rPr>
                <w:noProof/>
                <w:webHidden/>
              </w:rPr>
              <w:fldChar w:fldCharType="separate"/>
            </w:r>
            <w:r w:rsidR="005B5FD7">
              <w:rPr>
                <w:noProof/>
                <w:webHidden/>
              </w:rPr>
              <w:t>11</w:t>
            </w:r>
            <w:r w:rsidR="005B5FD7">
              <w:rPr>
                <w:noProof/>
                <w:webHidden/>
              </w:rPr>
              <w:fldChar w:fldCharType="end"/>
            </w:r>
          </w:hyperlink>
        </w:p>
        <w:p w14:paraId="0E807B05" w14:textId="563BA270" w:rsidR="005B5FD7" w:rsidRDefault="00A97F97">
          <w:pPr>
            <w:pStyle w:val="TOC2"/>
            <w:tabs>
              <w:tab w:val="right" w:leader="dot" w:pos="9016"/>
            </w:tabs>
            <w:rPr>
              <w:rFonts w:eastAsiaTheme="minorEastAsia"/>
              <w:noProof/>
              <w:sz w:val="22"/>
              <w:szCs w:val="22"/>
              <w:lang w:eastAsia="en-AU"/>
            </w:rPr>
          </w:pPr>
          <w:hyperlink w:anchor="_Toc120614287" w:history="1">
            <w:r w:rsidR="005B5FD7" w:rsidRPr="000B6EF5">
              <w:rPr>
                <w:rStyle w:val="Hyperlink"/>
                <w:rFonts w:ascii="Arial" w:eastAsia="Times New Roman" w:hAnsi="Arial" w:cs="Arial"/>
                <w:b/>
                <w:bCs/>
                <w:noProof/>
                <w:lang w:eastAsia="en-AU"/>
              </w:rPr>
              <w:t>4.1 GP Booking Visit – Confirmation of Pregnancy</w:t>
            </w:r>
            <w:r w:rsidR="005B5FD7">
              <w:rPr>
                <w:noProof/>
                <w:webHidden/>
              </w:rPr>
              <w:tab/>
            </w:r>
            <w:r w:rsidR="005B5FD7">
              <w:rPr>
                <w:noProof/>
                <w:webHidden/>
              </w:rPr>
              <w:fldChar w:fldCharType="begin"/>
            </w:r>
            <w:r w:rsidR="005B5FD7">
              <w:rPr>
                <w:noProof/>
                <w:webHidden/>
              </w:rPr>
              <w:instrText xml:space="preserve"> PAGEREF _Toc120614287 \h </w:instrText>
            </w:r>
            <w:r w:rsidR="005B5FD7">
              <w:rPr>
                <w:noProof/>
                <w:webHidden/>
              </w:rPr>
            </w:r>
            <w:r w:rsidR="005B5FD7">
              <w:rPr>
                <w:noProof/>
                <w:webHidden/>
              </w:rPr>
              <w:fldChar w:fldCharType="separate"/>
            </w:r>
            <w:r w:rsidR="005B5FD7">
              <w:rPr>
                <w:noProof/>
                <w:webHidden/>
              </w:rPr>
              <w:t>12</w:t>
            </w:r>
            <w:r w:rsidR="005B5FD7">
              <w:rPr>
                <w:noProof/>
                <w:webHidden/>
              </w:rPr>
              <w:fldChar w:fldCharType="end"/>
            </w:r>
          </w:hyperlink>
        </w:p>
        <w:p w14:paraId="71FC1D92" w14:textId="04645A26" w:rsidR="005B5FD7" w:rsidRDefault="00A97F97">
          <w:pPr>
            <w:pStyle w:val="TOC2"/>
            <w:tabs>
              <w:tab w:val="right" w:leader="dot" w:pos="9016"/>
            </w:tabs>
            <w:rPr>
              <w:rFonts w:eastAsiaTheme="minorEastAsia"/>
              <w:noProof/>
              <w:sz w:val="22"/>
              <w:szCs w:val="22"/>
              <w:lang w:eastAsia="en-AU"/>
            </w:rPr>
          </w:pPr>
          <w:hyperlink w:anchor="_Toc120614288" w:history="1">
            <w:r w:rsidR="005B5FD7" w:rsidRPr="000B6EF5">
              <w:rPr>
                <w:rStyle w:val="Hyperlink"/>
                <w:rFonts w:ascii="Arial" w:eastAsia="Times New Roman" w:hAnsi="Arial" w:cs="Arial"/>
                <w:b/>
                <w:bCs/>
                <w:noProof/>
                <w:lang w:eastAsia="en-AU"/>
              </w:rPr>
              <w:t>4.2 Models of Care</w:t>
            </w:r>
            <w:r w:rsidR="005B5FD7">
              <w:rPr>
                <w:noProof/>
                <w:webHidden/>
              </w:rPr>
              <w:tab/>
            </w:r>
            <w:r w:rsidR="005B5FD7">
              <w:rPr>
                <w:noProof/>
                <w:webHidden/>
              </w:rPr>
              <w:fldChar w:fldCharType="begin"/>
            </w:r>
            <w:r w:rsidR="005B5FD7">
              <w:rPr>
                <w:noProof/>
                <w:webHidden/>
              </w:rPr>
              <w:instrText xml:space="preserve"> PAGEREF _Toc120614288 \h </w:instrText>
            </w:r>
            <w:r w:rsidR="005B5FD7">
              <w:rPr>
                <w:noProof/>
                <w:webHidden/>
              </w:rPr>
            </w:r>
            <w:r w:rsidR="005B5FD7">
              <w:rPr>
                <w:noProof/>
                <w:webHidden/>
              </w:rPr>
              <w:fldChar w:fldCharType="separate"/>
            </w:r>
            <w:r w:rsidR="005B5FD7">
              <w:rPr>
                <w:noProof/>
                <w:webHidden/>
              </w:rPr>
              <w:t>17</w:t>
            </w:r>
            <w:r w:rsidR="005B5FD7">
              <w:rPr>
                <w:noProof/>
                <w:webHidden/>
              </w:rPr>
              <w:fldChar w:fldCharType="end"/>
            </w:r>
          </w:hyperlink>
        </w:p>
        <w:p w14:paraId="70075110" w14:textId="4EE09241" w:rsidR="005B5FD7" w:rsidRDefault="00A97F97">
          <w:pPr>
            <w:pStyle w:val="TOC2"/>
            <w:tabs>
              <w:tab w:val="right" w:leader="dot" w:pos="9016"/>
            </w:tabs>
            <w:rPr>
              <w:rFonts w:eastAsiaTheme="minorEastAsia"/>
              <w:noProof/>
              <w:sz w:val="22"/>
              <w:szCs w:val="22"/>
              <w:lang w:eastAsia="en-AU"/>
            </w:rPr>
          </w:pPr>
          <w:hyperlink w:anchor="_Toc120614289" w:history="1">
            <w:r w:rsidR="005B5FD7" w:rsidRPr="000B6EF5">
              <w:rPr>
                <w:rStyle w:val="Hyperlink"/>
                <w:rFonts w:ascii="Arial" w:eastAsia="Times New Roman" w:hAnsi="Arial" w:cs="Arial"/>
                <w:b/>
                <w:bCs/>
                <w:noProof/>
                <w:lang w:eastAsia="en-AU"/>
              </w:rPr>
              <w:t>4.3 Location of Care:</w:t>
            </w:r>
            <w:r w:rsidR="005B5FD7">
              <w:rPr>
                <w:noProof/>
                <w:webHidden/>
              </w:rPr>
              <w:tab/>
            </w:r>
            <w:r w:rsidR="005B5FD7">
              <w:rPr>
                <w:noProof/>
                <w:webHidden/>
              </w:rPr>
              <w:fldChar w:fldCharType="begin"/>
            </w:r>
            <w:r w:rsidR="005B5FD7">
              <w:rPr>
                <w:noProof/>
                <w:webHidden/>
              </w:rPr>
              <w:instrText xml:space="preserve"> PAGEREF _Toc120614289 \h </w:instrText>
            </w:r>
            <w:r w:rsidR="005B5FD7">
              <w:rPr>
                <w:noProof/>
                <w:webHidden/>
              </w:rPr>
            </w:r>
            <w:r w:rsidR="005B5FD7">
              <w:rPr>
                <w:noProof/>
                <w:webHidden/>
              </w:rPr>
              <w:fldChar w:fldCharType="separate"/>
            </w:r>
            <w:r w:rsidR="005B5FD7">
              <w:rPr>
                <w:noProof/>
                <w:webHidden/>
              </w:rPr>
              <w:t>18</w:t>
            </w:r>
            <w:r w:rsidR="005B5FD7">
              <w:rPr>
                <w:noProof/>
                <w:webHidden/>
              </w:rPr>
              <w:fldChar w:fldCharType="end"/>
            </w:r>
          </w:hyperlink>
        </w:p>
        <w:p w14:paraId="63BDC9B9" w14:textId="5A089797" w:rsidR="005B5FD7" w:rsidRDefault="00A97F97">
          <w:pPr>
            <w:pStyle w:val="TOC2"/>
            <w:tabs>
              <w:tab w:val="right" w:leader="dot" w:pos="9016"/>
            </w:tabs>
            <w:rPr>
              <w:rFonts w:eastAsiaTheme="minorEastAsia"/>
              <w:noProof/>
              <w:sz w:val="22"/>
              <w:szCs w:val="22"/>
              <w:lang w:eastAsia="en-AU"/>
            </w:rPr>
          </w:pPr>
          <w:hyperlink w:anchor="_Toc120614290" w:history="1">
            <w:r w:rsidR="005B5FD7" w:rsidRPr="000B6EF5">
              <w:rPr>
                <w:rStyle w:val="Hyperlink"/>
                <w:rFonts w:ascii="Arial" w:eastAsia="Times New Roman" w:hAnsi="Arial" w:cs="Arial"/>
                <w:b/>
                <w:bCs/>
                <w:noProof/>
                <w:lang w:eastAsia="en-AU"/>
              </w:rPr>
              <w:t>4.4 How to Refer/Book into Eastern Health:</w:t>
            </w:r>
            <w:r w:rsidR="005B5FD7">
              <w:rPr>
                <w:noProof/>
                <w:webHidden/>
              </w:rPr>
              <w:tab/>
            </w:r>
            <w:r w:rsidR="005B5FD7">
              <w:rPr>
                <w:noProof/>
                <w:webHidden/>
              </w:rPr>
              <w:fldChar w:fldCharType="begin"/>
            </w:r>
            <w:r w:rsidR="005B5FD7">
              <w:rPr>
                <w:noProof/>
                <w:webHidden/>
              </w:rPr>
              <w:instrText xml:space="preserve"> PAGEREF _Toc120614290 \h </w:instrText>
            </w:r>
            <w:r w:rsidR="005B5FD7">
              <w:rPr>
                <w:noProof/>
                <w:webHidden/>
              </w:rPr>
            </w:r>
            <w:r w:rsidR="005B5FD7">
              <w:rPr>
                <w:noProof/>
                <w:webHidden/>
              </w:rPr>
              <w:fldChar w:fldCharType="separate"/>
            </w:r>
            <w:r w:rsidR="005B5FD7">
              <w:rPr>
                <w:noProof/>
                <w:webHidden/>
              </w:rPr>
              <w:t>19</w:t>
            </w:r>
            <w:r w:rsidR="005B5FD7">
              <w:rPr>
                <w:noProof/>
                <w:webHidden/>
              </w:rPr>
              <w:fldChar w:fldCharType="end"/>
            </w:r>
          </w:hyperlink>
        </w:p>
        <w:p w14:paraId="02F0A23E" w14:textId="6DCA7DD7" w:rsidR="005B5FD7" w:rsidRDefault="00A97F97">
          <w:pPr>
            <w:pStyle w:val="TOC2"/>
            <w:tabs>
              <w:tab w:val="right" w:leader="dot" w:pos="9016"/>
            </w:tabs>
            <w:rPr>
              <w:rFonts w:eastAsiaTheme="minorEastAsia"/>
              <w:noProof/>
              <w:sz w:val="22"/>
              <w:szCs w:val="22"/>
              <w:lang w:eastAsia="en-AU"/>
            </w:rPr>
          </w:pPr>
          <w:hyperlink w:anchor="_Toc120614291" w:history="1">
            <w:r w:rsidR="005B5FD7" w:rsidRPr="000B6EF5">
              <w:rPr>
                <w:rStyle w:val="Hyperlink"/>
                <w:rFonts w:ascii="Arial" w:eastAsia="Times New Roman" w:hAnsi="Arial" w:cs="Arial"/>
                <w:b/>
                <w:bCs/>
                <w:noProof/>
                <w:lang w:eastAsia="en-AU"/>
              </w:rPr>
              <w:t>4.5 Referral to Obstetric Medicine</w:t>
            </w:r>
            <w:r w:rsidR="005B5FD7">
              <w:rPr>
                <w:noProof/>
                <w:webHidden/>
              </w:rPr>
              <w:tab/>
            </w:r>
            <w:r w:rsidR="005B5FD7">
              <w:rPr>
                <w:noProof/>
                <w:webHidden/>
              </w:rPr>
              <w:fldChar w:fldCharType="begin"/>
            </w:r>
            <w:r w:rsidR="005B5FD7">
              <w:rPr>
                <w:noProof/>
                <w:webHidden/>
              </w:rPr>
              <w:instrText xml:space="preserve"> PAGEREF _Toc120614291 \h </w:instrText>
            </w:r>
            <w:r w:rsidR="005B5FD7">
              <w:rPr>
                <w:noProof/>
                <w:webHidden/>
              </w:rPr>
            </w:r>
            <w:r w:rsidR="005B5FD7">
              <w:rPr>
                <w:noProof/>
                <w:webHidden/>
              </w:rPr>
              <w:fldChar w:fldCharType="separate"/>
            </w:r>
            <w:r w:rsidR="005B5FD7">
              <w:rPr>
                <w:noProof/>
                <w:webHidden/>
              </w:rPr>
              <w:t>19</w:t>
            </w:r>
            <w:r w:rsidR="005B5FD7">
              <w:rPr>
                <w:noProof/>
                <w:webHidden/>
              </w:rPr>
              <w:fldChar w:fldCharType="end"/>
            </w:r>
          </w:hyperlink>
        </w:p>
        <w:p w14:paraId="648CC471" w14:textId="468B50C0" w:rsidR="005B5FD7" w:rsidRDefault="00A97F97">
          <w:pPr>
            <w:pStyle w:val="TOC2"/>
            <w:tabs>
              <w:tab w:val="right" w:leader="dot" w:pos="9016"/>
            </w:tabs>
            <w:rPr>
              <w:rFonts w:eastAsiaTheme="minorEastAsia"/>
              <w:noProof/>
              <w:sz w:val="22"/>
              <w:szCs w:val="22"/>
              <w:lang w:eastAsia="en-AU"/>
            </w:rPr>
          </w:pPr>
          <w:hyperlink w:anchor="_Toc120614292" w:history="1">
            <w:r w:rsidR="005B5FD7" w:rsidRPr="000B6EF5">
              <w:rPr>
                <w:rStyle w:val="Hyperlink"/>
                <w:rFonts w:ascii="Arial" w:eastAsia="Times New Roman" w:hAnsi="Arial" w:cs="Arial"/>
                <w:b/>
                <w:bCs/>
                <w:noProof/>
                <w:lang w:eastAsia="en-AU"/>
              </w:rPr>
              <w:t>4.6 Section 4 References and resources</w:t>
            </w:r>
            <w:r w:rsidR="005B5FD7">
              <w:rPr>
                <w:noProof/>
                <w:webHidden/>
              </w:rPr>
              <w:tab/>
            </w:r>
            <w:r w:rsidR="005B5FD7">
              <w:rPr>
                <w:noProof/>
                <w:webHidden/>
              </w:rPr>
              <w:fldChar w:fldCharType="begin"/>
            </w:r>
            <w:r w:rsidR="005B5FD7">
              <w:rPr>
                <w:noProof/>
                <w:webHidden/>
              </w:rPr>
              <w:instrText xml:space="preserve"> PAGEREF _Toc120614292 \h </w:instrText>
            </w:r>
            <w:r w:rsidR="005B5FD7">
              <w:rPr>
                <w:noProof/>
                <w:webHidden/>
              </w:rPr>
            </w:r>
            <w:r w:rsidR="005B5FD7">
              <w:rPr>
                <w:noProof/>
                <w:webHidden/>
              </w:rPr>
              <w:fldChar w:fldCharType="separate"/>
            </w:r>
            <w:r w:rsidR="005B5FD7">
              <w:rPr>
                <w:noProof/>
                <w:webHidden/>
              </w:rPr>
              <w:t>20</w:t>
            </w:r>
            <w:r w:rsidR="005B5FD7">
              <w:rPr>
                <w:noProof/>
                <w:webHidden/>
              </w:rPr>
              <w:fldChar w:fldCharType="end"/>
            </w:r>
          </w:hyperlink>
        </w:p>
        <w:p w14:paraId="07590B6F" w14:textId="2EC6CBB0" w:rsidR="005B5FD7" w:rsidRDefault="00A97F97">
          <w:pPr>
            <w:pStyle w:val="TOC2"/>
            <w:tabs>
              <w:tab w:val="right" w:leader="dot" w:pos="9016"/>
            </w:tabs>
            <w:rPr>
              <w:rFonts w:eastAsiaTheme="minorEastAsia"/>
              <w:noProof/>
              <w:sz w:val="22"/>
              <w:szCs w:val="22"/>
              <w:lang w:eastAsia="en-AU"/>
            </w:rPr>
          </w:pPr>
          <w:hyperlink w:anchor="_Toc120614293" w:history="1">
            <w:r w:rsidR="005B5FD7" w:rsidRPr="000B6EF5">
              <w:rPr>
                <w:rStyle w:val="Hyperlink"/>
                <w:rFonts w:ascii="Arial" w:eastAsia="Times New Roman" w:hAnsi="Arial" w:cs="Arial"/>
                <w:b/>
                <w:bCs/>
                <w:noProof/>
                <w:lang w:eastAsia="en-AU"/>
              </w:rPr>
              <w:t>5.0 Pregnancy Investigations</w:t>
            </w:r>
            <w:r w:rsidR="005B5FD7">
              <w:rPr>
                <w:noProof/>
                <w:webHidden/>
              </w:rPr>
              <w:tab/>
            </w:r>
            <w:r w:rsidR="005B5FD7">
              <w:rPr>
                <w:noProof/>
                <w:webHidden/>
              </w:rPr>
              <w:fldChar w:fldCharType="begin"/>
            </w:r>
            <w:r w:rsidR="005B5FD7">
              <w:rPr>
                <w:noProof/>
                <w:webHidden/>
              </w:rPr>
              <w:instrText xml:space="preserve"> PAGEREF _Toc120614293 \h </w:instrText>
            </w:r>
            <w:r w:rsidR="005B5FD7">
              <w:rPr>
                <w:noProof/>
                <w:webHidden/>
              </w:rPr>
            </w:r>
            <w:r w:rsidR="005B5FD7">
              <w:rPr>
                <w:noProof/>
                <w:webHidden/>
              </w:rPr>
              <w:fldChar w:fldCharType="separate"/>
            </w:r>
            <w:r w:rsidR="005B5FD7">
              <w:rPr>
                <w:noProof/>
                <w:webHidden/>
              </w:rPr>
              <w:t>23</w:t>
            </w:r>
            <w:r w:rsidR="005B5FD7">
              <w:rPr>
                <w:noProof/>
                <w:webHidden/>
              </w:rPr>
              <w:fldChar w:fldCharType="end"/>
            </w:r>
          </w:hyperlink>
        </w:p>
        <w:p w14:paraId="7E184669" w14:textId="393A103A" w:rsidR="005B5FD7" w:rsidRDefault="00A97F97">
          <w:pPr>
            <w:pStyle w:val="TOC2"/>
            <w:tabs>
              <w:tab w:val="right" w:leader="dot" w:pos="9016"/>
            </w:tabs>
            <w:rPr>
              <w:rFonts w:eastAsiaTheme="minorEastAsia"/>
              <w:noProof/>
              <w:sz w:val="22"/>
              <w:szCs w:val="22"/>
              <w:lang w:eastAsia="en-AU"/>
            </w:rPr>
          </w:pPr>
          <w:hyperlink w:anchor="_Toc120614294" w:history="1">
            <w:r w:rsidR="005B5FD7" w:rsidRPr="000B6EF5">
              <w:rPr>
                <w:rStyle w:val="Hyperlink"/>
                <w:rFonts w:ascii="Arial" w:eastAsia="Times New Roman" w:hAnsi="Arial" w:cs="Arial"/>
                <w:b/>
                <w:bCs/>
                <w:noProof/>
                <w:lang w:eastAsia="en-AU"/>
              </w:rPr>
              <w:t>5.1 Calculating Estimated Due Date</w:t>
            </w:r>
            <w:r w:rsidR="005B5FD7">
              <w:rPr>
                <w:noProof/>
                <w:webHidden/>
              </w:rPr>
              <w:tab/>
            </w:r>
            <w:r w:rsidR="005B5FD7">
              <w:rPr>
                <w:noProof/>
                <w:webHidden/>
              </w:rPr>
              <w:fldChar w:fldCharType="begin"/>
            </w:r>
            <w:r w:rsidR="005B5FD7">
              <w:rPr>
                <w:noProof/>
                <w:webHidden/>
              </w:rPr>
              <w:instrText xml:space="preserve"> PAGEREF _Toc120614294 \h </w:instrText>
            </w:r>
            <w:r w:rsidR="005B5FD7">
              <w:rPr>
                <w:noProof/>
                <w:webHidden/>
              </w:rPr>
            </w:r>
            <w:r w:rsidR="005B5FD7">
              <w:rPr>
                <w:noProof/>
                <w:webHidden/>
              </w:rPr>
              <w:fldChar w:fldCharType="separate"/>
            </w:r>
            <w:r w:rsidR="005B5FD7">
              <w:rPr>
                <w:noProof/>
                <w:webHidden/>
              </w:rPr>
              <w:t>23</w:t>
            </w:r>
            <w:r w:rsidR="005B5FD7">
              <w:rPr>
                <w:noProof/>
                <w:webHidden/>
              </w:rPr>
              <w:fldChar w:fldCharType="end"/>
            </w:r>
          </w:hyperlink>
        </w:p>
        <w:p w14:paraId="045226FB" w14:textId="0AEDA724" w:rsidR="005B5FD7" w:rsidRDefault="00A97F97">
          <w:pPr>
            <w:pStyle w:val="TOC2"/>
            <w:tabs>
              <w:tab w:val="right" w:leader="dot" w:pos="9016"/>
            </w:tabs>
            <w:rPr>
              <w:rFonts w:eastAsiaTheme="minorEastAsia"/>
              <w:noProof/>
              <w:sz w:val="22"/>
              <w:szCs w:val="22"/>
              <w:lang w:eastAsia="en-AU"/>
            </w:rPr>
          </w:pPr>
          <w:hyperlink w:anchor="_Toc120614295" w:history="1">
            <w:r w:rsidR="005B5FD7" w:rsidRPr="000B6EF5">
              <w:rPr>
                <w:rStyle w:val="Hyperlink"/>
                <w:rFonts w:ascii="Arial" w:eastAsia="Times New Roman" w:hAnsi="Arial" w:cs="Arial"/>
                <w:b/>
                <w:bCs/>
                <w:noProof/>
                <w:lang w:eastAsia="en-AU"/>
              </w:rPr>
              <w:t>5.2 First trimester</w:t>
            </w:r>
            <w:r w:rsidR="005B5FD7">
              <w:rPr>
                <w:noProof/>
                <w:webHidden/>
              </w:rPr>
              <w:tab/>
            </w:r>
            <w:r w:rsidR="005B5FD7">
              <w:rPr>
                <w:noProof/>
                <w:webHidden/>
              </w:rPr>
              <w:fldChar w:fldCharType="begin"/>
            </w:r>
            <w:r w:rsidR="005B5FD7">
              <w:rPr>
                <w:noProof/>
                <w:webHidden/>
              </w:rPr>
              <w:instrText xml:space="preserve"> PAGEREF _Toc120614295 \h </w:instrText>
            </w:r>
            <w:r w:rsidR="005B5FD7">
              <w:rPr>
                <w:noProof/>
                <w:webHidden/>
              </w:rPr>
            </w:r>
            <w:r w:rsidR="005B5FD7">
              <w:rPr>
                <w:noProof/>
                <w:webHidden/>
              </w:rPr>
              <w:fldChar w:fldCharType="separate"/>
            </w:r>
            <w:r w:rsidR="005B5FD7">
              <w:rPr>
                <w:noProof/>
                <w:webHidden/>
              </w:rPr>
              <w:t>23</w:t>
            </w:r>
            <w:r w:rsidR="005B5FD7">
              <w:rPr>
                <w:noProof/>
                <w:webHidden/>
              </w:rPr>
              <w:fldChar w:fldCharType="end"/>
            </w:r>
          </w:hyperlink>
        </w:p>
        <w:p w14:paraId="5EAE0FF9" w14:textId="62E8C35D" w:rsidR="005B5FD7" w:rsidRDefault="00A97F97">
          <w:pPr>
            <w:pStyle w:val="TOC2"/>
            <w:tabs>
              <w:tab w:val="right" w:leader="dot" w:pos="9016"/>
            </w:tabs>
            <w:rPr>
              <w:rFonts w:eastAsiaTheme="minorEastAsia"/>
              <w:noProof/>
              <w:sz w:val="22"/>
              <w:szCs w:val="22"/>
              <w:lang w:eastAsia="en-AU"/>
            </w:rPr>
          </w:pPr>
          <w:hyperlink w:anchor="_Toc120614296" w:history="1">
            <w:r w:rsidR="005B5FD7" w:rsidRPr="000B6EF5">
              <w:rPr>
                <w:rStyle w:val="Hyperlink"/>
                <w:rFonts w:ascii="Arial" w:eastAsia="Times New Roman" w:hAnsi="Arial" w:cs="Arial"/>
                <w:b/>
                <w:bCs/>
                <w:noProof/>
                <w:lang w:eastAsia="en-AU"/>
              </w:rPr>
              <w:t>5.3 Genetic/Chromosomal Abnormality Screening in Pregnancy</w:t>
            </w:r>
            <w:r w:rsidR="005B5FD7">
              <w:rPr>
                <w:noProof/>
                <w:webHidden/>
              </w:rPr>
              <w:tab/>
            </w:r>
            <w:r w:rsidR="005B5FD7">
              <w:rPr>
                <w:noProof/>
                <w:webHidden/>
              </w:rPr>
              <w:fldChar w:fldCharType="begin"/>
            </w:r>
            <w:r w:rsidR="005B5FD7">
              <w:rPr>
                <w:noProof/>
                <w:webHidden/>
              </w:rPr>
              <w:instrText xml:space="preserve"> PAGEREF _Toc120614296 \h </w:instrText>
            </w:r>
            <w:r w:rsidR="005B5FD7">
              <w:rPr>
                <w:noProof/>
                <w:webHidden/>
              </w:rPr>
            </w:r>
            <w:r w:rsidR="005B5FD7">
              <w:rPr>
                <w:noProof/>
                <w:webHidden/>
              </w:rPr>
              <w:fldChar w:fldCharType="separate"/>
            </w:r>
            <w:r w:rsidR="005B5FD7">
              <w:rPr>
                <w:noProof/>
                <w:webHidden/>
              </w:rPr>
              <w:t>27</w:t>
            </w:r>
            <w:r w:rsidR="005B5FD7">
              <w:rPr>
                <w:noProof/>
                <w:webHidden/>
              </w:rPr>
              <w:fldChar w:fldCharType="end"/>
            </w:r>
          </w:hyperlink>
        </w:p>
        <w:p w14:paraId="56A7A46A" w14:textId="31890EAC" w:rsidR="005B5FD7" w:rsidRDefault="00A97F97">
          <w:pPr>
            <w:pStyle w:val="TOC2"/>
            <w:tabs>
              <w:tab w:val="right" w:leader="dot" w:pos="9016"/>
            </w:tabs>
            <w:rPr>
              <w:rFonts w:eastAsiaTheme="minorEastAsia"/>
              <w:noProof/>
              <w:sz w:val="22"/>
              <w:szCs w:val="22"/>
              <w:lang w:eastAsia="en-AU"/>
            </w:rPr>
          </w:pPr>
          <w:hyperlink w:anchor="_Toc120614297" w:history="1">
            <w:r w:rsidR="005B5FD7" w:rsidRPr="000B6EF5">
              <w:rPr>
                <w:rStyle w:val="Hyperlink"/>
                <w:rFonts w:ascii="Arial" w:eastAsia="Times New Roman" w:hAnsi="Arial" w:cs="Arial"/>
                <w:b/>
                <w:bCs/>
                <w:noProof/>
                <w:lang w:eastAsia="en-AU"/>
              </w:rPr>
              <w:t>5.4 Second Trimester Screening</w:t>
            </w:r>
            <w:r w:rsidR="005B5FD7">
              <w:rPr>
                <w:noProof/>
                <w:webHidden/>
              </w:rPr>
              <w:tab/>
            </w:r>
            <w:r w:rsidR="005B5FD7">
              <w:rPr>
                <w:noProof/>
                <w:webHidden/>
              </w:rPr>
              <w:fldChar w:fldCharType="begin"/>
            </w:r>
            <w:r w:rsidR="005B5FD7">
              <w:rPr>
                <w:noProof/>
                <w:webHidden/>
              </w:rPr>
              <w:instrText xml:space="preserve"> PAGEREF _Toc120614297 \h </w:instrText>
            </w:r>
            <w:r w:rsidR="005B5FD7">
              <w:rPr>
                <w:noProof/>
                <w:webHidden/>
              </w:rPr>
            </w:r>
            <w:r w:rsidR="005B5FD7">
              <w:rPr>
                <w:noProof/>
                <w:webHidden/>
              </w:rPr>
              <w:fldChar w:fldCharType="separate"/>
            </w:r>
            <w:r w:rsidR="005B5FD7">
              <w:rPr>
                <w:noProof/>
                <w:webHidden/>
              </w:rPr>
              <w:t>29</w:t>
            </w:r>
            <w:r w:rsidR="005B5FD7">
              <w:rPr>
                <w:noProof/>
                <w:webHidden/>
              </w:rPr>
              <w:fldChar w:fldCharType="end"/>
            </w:r>
          </w:hyperlink>
        </w:p>
        <w:p w14:paraId="785B51FE" w14:textId="056B88A4" w:rsidR="005B5FD7" w:rsidRDefault="00A97F97">
          <w:pPr>
            <w:pStyle w:val="TOC2"/>
            <w:tabs>
              <w:tab w:val="right" w:leader="dot" w:pos="9016"/>
            </w:tabs>
            <w:rPr>
              <w:rFonts w:eastAsiaTheme="minorEastAsia"/>
              <w:noProof/>
              <w:sz w:val="22"/>
              <w:szCs w:val="22"/>
              <w:lang w:eastAsia="en-AU"/>
            </w:rPr>
          </w:pPr>
          <w:hyperlink w:anchor="_Toc120614298" w:history="1">
            <w:r w:rsidR="005B5FD7" w:rsidRPr="000B6EF5">
              <w:rPr>
                <w:rStyle w:val="Hyperlink"/>
                <w:rFonts w:ascii="Arial" w:eastAsia="Times New Roman" w:hAnsi="Arial" w:cs="Arial"/>
                <w:b/>
                <w:bCs/>
                <w:noProof/>
                <w:lang w:eastAsia="en-AU"/>
              </w:rPr>
              <w:t>5.5 Third Trimester Screening</w:t>
            </w:r>
            <w:r w:rsidR="005B5FD7">
              <w:rPr>
                <w:noProof/>
                <w:webHidden/>
              </w:rPr>
              <w:tab/>
            </w:r>
            <w:r w:rsidR="005B5FD7">
              <w:rPr>
                <w:noProof/>
                <w:webHidden/>
              </w:rPr>
              <w:fldChar w:fldCharType="begin"/>
            </w:r>
            <w:r w:rsidR="005B5FD7">
              <w:rPr>
                <w:noProof/>
                <w:webHidden/>
              </w:rPr>
              <w:instrText xml:space="preserve"> PAGEREF _Toc120614298 \h </w:instrText>
            </w:r>
            <w:r w:rsidR="005B5FD7">
              <w:rPr>
                <w:noProof/>
                <w:webHidden/>
              </w:rPr>
            </w:r>
            <w:r w:rsidR="005B5FD7">
              <w:rPr>
                <w:noProof/>
                <w:webHidden/>
              </w:rPr>
              <w:fldChar w:fldCharType="separate"/>
            </w:r>
            <w:r w:rsidR="005B5FD7">
              <w:rPr>
                <w:noProof/>
                <w:webHidden/>
              </w:rPr>
              <w:t>31</w:t>
            </w:r>
            <w:r w:rsidR="005B5FD7">
              <w:rPr>
                <w:noProof/>
                <w:webHidden/>
              </w:rPr>
              <w:fldChar w:fldCharType="end"/>
            </w:r>
          </w:hyperlink>
        </w:p>
        <w:p w14:paraId="62657528" w14:textId="084C96D3" w:rsidR="005B5FD7" w:rsidRDefault="00A97F97">
          <w:pPr>
            <w:pStyle w:val="TOC2"/>
            <w:tabs>
              <w:tab w:val="right" w:leader="dot" w:pos="9016"/>
            </w:tabs>
            <w:rPr>
              <w:rFonts w:eastAsiaTheme="minorEastAsia"/>
              <w:noProof/>
              <w:sz w:val="22"/>
              <w:szCs w:val="22"/>
              <w:lang w:eastAsia="en-AU"/>
            </w:rPr>
          </w:pPr>
          <w:hyperlink w:anchor="_Toc120614299" w:history="1">
            <w:r w:rsidR="005B5FD7" w:rsidRPr="000B6EF5">
              <w:rPr>
                <w:rStyle w:val="Hyperlink"/>
                <w:rFonts w:ascii="Arial" w:eastAsia="Times New Roman" w:hAnsi="Arial" w:cs="Arial"/>
                <w:b/>
                <w:bCs/>
                <w:noProof/>
                <w:lang w:eastAsia="en-AU"/>
              </w:rPr>
              <w:t>5.6 Section 5 References and resources</w:t>
            </w:r>
            <w:r w:rsidR="005B5FD7">
              <w:rPr>
                <w:noProof/>
                <w:webHidden/>
              </w:rPr>
              <w:tab/>
            </w:r>
            <w:r w:rsidR="005B5FD7">
              <w:rPr>
                <w:noProof/>
                <w:webHidden/>
              </w:rPr>
              <w:fldChar w:fldCharType="begin"/>
            </w:r>
            <w:r w:rsidR="005B5FD7">
              <w:rPr>
                <w:noProof/>
                <w:webHidden/>
              </w:rPr>
              <w:instrText xml:space="preserve"> PAGEREF _Toc120614299 \h </w:instrText>
            </w:r>
            <w:r w:rsidR="005B5FD7">
              <w:rPr>
                <w:noProof/>
                <w:webHidden/>
              </w:rPr>
            </w:r>
            <w:r w:rsidR="005B5FD7">
              <w:rPr>
                <w:noProof/>
                <w:webHidden/>
              </w:rPr>
              <w:fldChar w:fldCharType="separate"/>
            </w:r>
            <w:r w:rsidR="005B5FD7">
              <w:rPr>
                <w:noProof/>
                <w:webHidden/>
              </w:rPr>
              <w:t>31</w:t>
            </w:r>
            <w:r w:rsidR="005B5FD7">
              <w:rPr>
                <w:noProof/>
                <w:webHidden/>
              </w:rPr>
              <w:fldChar w:fldCharType="end"/>
            </w:r>
          </w:hyperlink>
        </w:p>
        <w:p w14:paraId="694C7158" w14:textId="07804BF4" w:rsidR="005B5FD7" w:rsidRDefault="00A97F97">
          <w:pPr>
            <w:pStyle w:val="TOC2"/>
            <w:tabs>
              <w:tab w:val="right" w:leader="dot" w:pos="9016"/>
            </w:tabs>
            <w:rPr>
              <w:rFonts w:eastAsiaTheme="minorEastAsia"/>
              <w:noProof/>
              <w:sz w:val="22"/>
              <w:szCs w:val="22"/>
              <w:lang w:eastAsia="en-AU"/>
            </w:rPr>
          </w:pPr>
          <w:hyperlink w:anchor="_Toc120614300" w:history="1">
            <w:r w:rsidR="005B5FD7" w:rsidRPr="000B6EF5">
              <w:rPr>
                <w:rStyle w:val="Hyperlink"/>
                <w:rFonts w:ascii="Arial" w:eastAsia="Times New Roman" w:hAnsi="Arial" w:cs="Arial"/>
                <w:b/>
                <w:bCs/>
                <w:noProof/>
                <w:lang w:eastAsia="en-AU"/>
              </w:rPr>
              <w:t>6. Management and referral of abnormal findings</w:t>
            </w:r>
            <w:r w:rsidR="005B5FD7">
              <w:rPr>
                <w:noProof/>
                <w:webHidden/>
              </w:rPr>
              <w:tab/>
            </w:r>
            <w:r w:rsidR="005B5FD7">
              <w:rPr>
                <w:noProof/>
                <w:webHidden/>
              </w:rPr>
              <w:fldChar w:fldCharType="begin"/>
            </w:r>
            <w:r w:rsidR="005B5FD7">
              <w:rPr>
                <w:noProof/>
                <w:webHidden/>
              </w:rPr>
              <w:instrText xml:space="preserve"> PAGEREF _Toc120614300 \h </w:instrText>
            </w:r>
            <w:r w:rsidR="005B5FD7">
              <w:rPr>
                <w:noProof/>
                <w:webHidden/>
              </w:rPr>
            </w:r>
            <w:r w:rsidR="005B5FD7">
              <w:rPr>
                <w:noProof/>
                <w:webHidden/>
              </w:rPr>
              <w:fldChar w:fldCharType="separate"/>
            </w:r>
            <w:r w:rsidR="005B5FD7">
              <w:rPr>
                <w:noProof/>
                <w:webHidden/>
              </w:rPr>
              <w:t>34</w:t>
            </w:r>
            <w:r w:rsidR="005B5FD7">
              <w:rPr>
                <w:noProof/>
                <w:webHidden/>
              </w:rPr>
              <w:fldChar w:fldCharType="end"/>
            </w:r>
          </w:hyperlink>
        </w:p>
        <w:p w14:paraId="34A539CD" w14:textId="2FAE742B" w:rsidR="005B5FD7" w:rsidRDefault="00A97F97">
          <w:pPr>
            <w:pStyle w:val="TOC2"/>
            <w:tabs>
              <w:tab w:val="right" w:leader="dot" w:pos="9016"/>
            </w:tabs>
            <w:rPr>
              <w:rFonts w:eastAsiaTheme="minorEastAsia"/>
              <w:noProof/>
              <w:sz w:val="22"/>
              <w:szCs w:val="22"/>
              <w:lang w:eastAsia="en-AU"/>
            </w:rPr>
          </w:pPr>
          <w:hyperlink w:anchor="_Toc120614301" w:history="1">
            <w:r w:rsidR="005B5FD7" w:rsidRPr="000B6EF5">
              <w:rPr>
                <w:rStyle w:val="Hyperlink"/>
                <w:rFonts w:ascii="Arial" w:eastAsia="Times New Roman" w:hAnsi="Arial" w:cs="Arial"/>
                <w:b/>
                <w:bCs/>
                <w:noProof/>
                <w:lang w:eastAsia="en-AU"/>
              </w:rPr>
              <w:t>6.1 Bleeding in the 1st trimester</w:t>
            </w:r>
            <w:r w:rsidR="005B5FD7">
              <w:rPr>
                <w:noProof/>
                <w:webHidden/>
              </w:rPr>
              <w:tab/>
            </w:r>
            <w:r w:rsidR="005B5FD7">
              <w:rPr>
                <w:noProof/>
                <w:webHidden/>
              </w:rPr>
              <w:fldChar w:fldCharType="begin"/>
            </w:r>
            <w:r w:rsidR="005B5FD7">
              <w:rPr>
                <w:noProof/>
                <w:webHidden/>
              </w:rPr>
              <w:instrText xml:space="preserve"> PAGEREF _Toc120614301 \h </w:instrText>
            </w:r>
            <w:r w:rsidR="005B5FD7">
              <w:rPr>
                <w:noProof/>
                <w:webHidden/>
              </w:rPr>
            </w:r>
            <w:r w:rsidR="005B5FD7">
              <w:rPr>
                <w:noProof/>
                <w:webHidden/>
              </w:rPr>
              <w:fldChar w:fldCharType="separate"/>
            </w:r>
            <w:r w:rsidR="005B5FD7">
              <w:rPr>
                <w:noProof/>
                <w:webHidden/>
              </w:rPr>
              <w:t>34</w:t>
            </w:r>
            <w:r w:rsidR="005B5FD7">
              <w:rPr>
                <w:noProof/>
                <w:webHidden/>
              </w:rPr>
              <w:fldChar w:fldCharType="end"/>
            </w:r>
          </w:hyperlink>
        </w:p>
        <w:p w14:paraId="41A7387A" w14:textId="7797D041" w:rsidR="005B5FD7" w:rsidRDefault="00A97F97">
          <w:pPr>
            <w:pStyle w:val="TOC2"/>
            <w:tabs>
              <w:tab w:val="right" w:leader="dot" w:pos="9016"/>
            </w:tabs>
            <w:rPr>
              <w:rFonts w:eastAsiaTheme="minorEastAsia"/>
              <w:noProof/>
              <w:sz w:val="22"/>
              <w:szCs w:val="22"/>
              <w:lang w:eastAsia="en-AU"/>
            </w:rPr>
          </w:pPr>
          <w:hyperlink w:anchor="_Toc120614302" w:history="1">
            <w:r w:rsidR="005B5FD7" w:rsidRPr="000B6EF5">
              <w:rPr>
                <w:rStyle w:val="Hyperlink"/>
                <w:rFonts w:ascii="Arial" w:eastAsia="Times New Roman" w:hAnsi="Arial" w:cs="Arial"/>
                <w:b/>
                <w:bCs/>
                <w:noProof/>
                <w:lang w:eastAsia="en-AU"/>
              </w:rPr>
              <w:t>6.2 Bleeding in the 2nd and 3rd trimester – Antepartum Haemorrhage</w:t>
            </w:r>
            <w:r w:rsidR="005B5FD7">
              <w:rPr>
                <w:noProof/>
                <w:webHidden/>
              </w:rPr>
              <w:tab/>
            </w:r>
            <w:r w:rsidR="005B5FD7">
              <w:rPr>
                <w:noProof/>
                <w:webHidden/>
              </w:rPr>
              <w:fldChar w:fldCharType="begin"/>
            </w:r>
            <w:r w:rsidR="005B5FD7">
              <w:rPr>
                <w:noProof/>
                <w:webHidden/>
              </w:rPr>
              <w:instrText xml:space="preserve"> PAGEREF _Toc120614302 \h </w:instrText>
            </w:r>
            <w:r w:rsidR="005B5FD7">
              <w:rPr>
                <w:noProof/>
                <w:webHidden/>
              </w:rPr>
            </w:r>
            <w:r w:rsidR="005B5FD7">
              <w:rPr>
                <w:noProof/>
                <w:webHidden/>
              </w:rPr>
              <w:fldChar w:fldCharType="separate"/>
            </w:r>
            <w:r w:rsidR="005B5FD7">
              <w:rPr>
                <w:noProof/>
                <w:webHidden/>
              </w:rPr>
              <w:t>34</w:t>
            </w:r>
            <w:r w:rsidR="005B5FD7">
              <w:rPr>
                <w:noProof/>
                <w:webHidden/>
              </w:rPr>
              <w:fldChar w:fldCharType="end"/>
            </w:r>
          </w:hyperlink>
        </w:p>
        <w:p w14:paraId="472E7357" w14:textId="025CD934" w:rsidR="005B5FD7" w:rsidRDefault="00A97F97">
          <w:pPr>
            <w:pStyle w:val="TOC2"/>
            <w:tabs>
              <w:tab w:val="right" w:leader="dot" w:pos="9016"/>
            </w:tabs>
            <w:rPr>
              <w:rFonts w:eastAsiaTheme="minorEastAsia"/>
              <w:noProof/>
              <w:sz w:val="22"/>
              <w:szCs w:val="22"/>
              <w:lang w:eastAsia="en-AU"/>
            </w:rPr>
          </w:pPr>
          <w:hyperlink w:anchor="_Toc120614303" w:history="1">
            <w:r w:rsidR="005B5FD7" w:rsidRPr="000B6EF5">
              <w:rPr>
                <w:rStyle w:val="Hyperlink"/>
                <w:rFonts w:ascii="Arial" w:eastAsia="Times New Roman" w:hAnsi="Arial" w:cs="Arial"/>
                <w:b/>
                <w:bCs/>
                <w:noProof/>
                <w:lang w:eastAsia="en-AU"/>
              </w:rPr>
              <w:t>6.3 Suspected FGR/SGA Small for Gestational Age (SGA) and Fetal Growth Restriction (FGR)</w:t>
            </w:r>
            <w:r w:rsidR="005B5FD7">
              <w:rPr>
                <w:noProof/>
                <w:webHidden/>
              </w:rPr>
              <w:tab/>
            </w:r>
            <w:r w:rsidR="005B5FD7">
              <w:rPr>
                <w:noProof/>
                <w:webHidden/>
              </w:rPr>
              <w:fldChar w:fldCharType="begin"/>
            </w:r>
            <w:r w:rsidR="005B5FD7">
              <w:rPr>
                <w:noProof/>
                <w:webHidden/>
              </w:rPr>
              <w:instrText xml:space="preserve"> PAGEREF _Toc120614303 \h </w:instrText>
            </w:r>
            <w:r w:rsidR="005B5FD7">
              <w:rPr>
                <w:noProof/>
                <w:webHidden/>
              </w:rPr>
            </w:r>
            <w:r w:rsidR="005B5FD7">
              <w:rPr>
                <w:noProof/>
                <w:webHidden/>
              </w:rPr>
              <w:fldChar w:fldCharType="separate"/>
            </w:r>
            <w:r w:rsidR="005B5FD7">
              <w:rPr>
                <w:noProof/>
                <w:webHidden/>
              </w:rPr>
              <w:t>34</w:t>
            </w:r>
            <w:r w:rsidR="005B5FD7">
              <w:rPr>
                <w:noProof/>
                <w:webHidden/>
              </w:rPr>
              <w:fldChar w:fldCharType="end"/>
            </w:r>
          </w:hyperlink>
        </w:p>
        <w:p w14:paraId="5C0BB455" w14:textId="5B152BE3" w:rsidR="005B5FD7" w:rsidRDefault="00A97F97">
          <w:pPr>
            <w:pStyle w:val="TOC2"/>
            <w:tabs>
              <w:tab w:val="right" w:leader="dot" w:pos="9016"/>
            </w:tabs>
            <w:rPr>
              <w:rFonts w:eastAsiaTheme="minorEastAsia"/>
              <w:noProof/>
              <w:sz w:val="22"/>
              <w:szCs w:val="22"/>
              <w:lang w:eastAsia="en-AU"/>
            </w:rPr>
          </w:pPr>
          <w:hyperlink w:anchor="_Toc120614304" w:history="1">
            <w:r w:rsidR="005B5FD7" w:rsidRPr="000B6EF5">
              <w:rPr>
                <w:rStyle w:val="Hyperlink"/>
                <w:rFonts w:ascii="Arial" w:eastAsia="Times New Roman" w:hAnsi="Arial" w:cs="Arial"/>
                <w:b/>
                <w:bCs/>
                <w:noProof/>
                <w:lang w:eastAsia="en-AU"/>
              </w:rPr>
              <w:t>6.4 Decreased Fetal Movements</w:t>
            </w:r>
            <w:r w:rsidR="005B5FD7">
              <w:rPr>
                <w:noProof/>
                <w:webHidden/>
              </w:rPr>
              <w:tab/>
            </w:r>
            <w:r w:rsidR="005B5FD7">
              <w:rPr>
                <w:noProof/>
                <w:webHidden/>
              </w:rPr>
              <w:fldChar w:fldCharType="begin"/>
            </w:r>
            <w:r w:rsidR="005B5FD7">
              <w:rPr>
                <w:noProof/>
                <w:webHidden/>
              </w:rPr>
              <w:instrText xml:space="preserve"> PAGEREF _Toc120614304 \h </w:instrText>
            </w:r>
            <w:r w:rsidR="005B5FD7">
              <w:rPr>
                <w:noProof/>
                <w:webHidden/>
              </w:rPr>
            </w:r>
            <w:r w:rsidR="005B5FD7">
              <w:rPr>
                <w:noProof/>
                <w:webHidden/>
              </w:rPr>
              <w:fldChar w:fldCharType="separate"/>
            </w:r>
            <w:r w:rsidR="005B5FD7">
              <w:rPr>
                <w:noProof/>
                <w:webHidden/>
              </w:rPr>
              <w:t>41</w:t>
            </w:r>
            <w:r w:rsidR="005B5FD7">
              <w:rPr>
                <w:noProof/>
                <w:webHidden/>
              </w:rPr>
              <w:fldChar w:fldCharType="end"/>
            </w:r>
          </w:hyperlink>
        </w:p>
        <w:p w14:paraId="48121804" w14:textId="5E30F129" w:rsidR="005B5FD7" w:rsidRDefault="00A97F97">
          <w:pPr>
            <w:pStyle w:val="TOC2"/>
            <w:tabs>
              <w:tab w:val="right" w:leader="dot" w:pos="9016"/>
            </w:tabs>
            <w:rPr>
              <w:rFonts w:eastAsiaTheme="minorEastAsia"/>
              <w:noProof/>
              <w:sz w:val="22"/>
              <w:szCs w:val="22"/>
              <w:lang w:eastAsia="en-AU"/>
            </w:rPr>
          </w:pPr>
          <w:hyperlink w:anchor="_Toc120614305" w:history="1">
            <w:r w:rsidR="005B5FD7" w:rsidRPr="000B6EF5">
              <w:rPr>
                <w:rStyle w:val="Hyperlink"/>
                <w:rFonts w:ascii="Arial" w:eastAsia="Times New Roman" w:hAnsi="Arial" w:cs="Arial"/>
                <w:b/>
                <w:bCs/>
                <w:noProof/>
                <w:lang w:eastAsia="en-AU"/>
              </w:rPr>
              <w:t>6.5 Breech Presentation:</w:t>
            </w:r>
            <w:r w:rsidR="005B5FD7">
              <w:rPr>
                <w:noProof/>
                <w:webHidden/>
              </w:rPr>
              <w:tab/>
            </w:r>
            <w:r w:rsidR="005B5FD7">
              <w:rPr>
                <w:noProof/>
                <w:webHidden/>
              </w:rPr>
              <w:fldChar w:fldCharType="begin"/>
            </w:r>
            <w:r w:rsidR="005B5FD7">
              <w:rPr>
                <w:noProof/>
                <w:webHidden/>
              </w:rPr>
              <w:instrText xml:space="preserve"> PAGEREF _Toc120614305 \h </w:instrText>
            </w:r>
            <w:r w:rsidR="005B5FD7">
              <w:rPr>
                <w:noProof/>
                <w:webHidden/>
              </w:rPr>
            </w:r>
            <w:r w:rsidR="005B5FD7">
              <w:rPr>
                <w:noProof/>
                <w:webHidden/>
              </w:rPr>
              <w:fldChar w:fldCharType="separate"/>
            </w:r>
            <w:r w:rsidR="005B5FD7">
              <w:rPr>
                <w:noProof/>
                <w:webHidden/>
              </w:rPr>
              <w:t>42</w:t>
            </w:r>
            <w:r w:rsidR="005B5FD7">
              <w:rPr>
                <w:noProof/>
                <w:webHidden/>
              </w:rPr>
              <w:fldChar w:fldCharType="end"/>
            </w:r>
          </w:hyperlink>
        </w:p>
        <w:p w14:paraId="793023F2" w14:textId="123208EA" w:rsidR="005B5FD7" w:rsidRDefault="00A97F97">
          <w:pPr>
            <w:pStyle w:val="TOC2"/>
            <w:tabs>
              <w:tab w:val="right" w:leader="dot" w:pos="9016"/>
            </w:tabs>
            <w:rPr>
              <w:rFonts w:eastAsiaTheme="minorEastAsia"/>
              <w:noProof/>
              <w:sz w:val="22"/>
              <w:szCs w:val="22"/>
              <w:lang w:eastAsia="en-AU"/>
            </w:rPr>
          </w:pPr>
          <w:hyperlink w:anchor="_Toc120614306" w:history="1">
            <w:r w:rsidR="005B5FD7" w:rsidRPr="000B6EF5">
              <w:rPr>
                <w:rStyle w:val="Hyperlink"/>
                <w:rFonts w:ascii="Arial" w:eastAsia="Times New Roman" w:hAnsi="Arial" w:cs="Arial"/>
                <w:b/>
                <w:bCs/>
                <w:noProof/>
                <w:lang w:eastAsia="en-AU"/>
              </w:rPr>
              <w:t>6.6 Low Lying Placenta at 20 weeks gestation:</w:t>
            </w:r>
            <w:r w:rsidR="005B5FD7">
              <w:rPr>
                <w:noProof/>
                <w:webHidden/>
              </w:rPr>
              <w:tab/>
            </w:r>
            <w:r w:rsidR="005B5FD7">
              <w:rPr>
                <w:noProof/>
                <w:webHidden/>
              </w:rPr>
              <w:fldChar w:fldCharType="begin"/>
            </w:r>
            <w:r w:rsidR="005B5FD7">
              <w:rPr>
                <w:noProof/>
                <w:webHidden/>
              </w:rPr>
              <w:instrText xml:space="preserve"> PAGEREF _Toc120614306 \h </w:instrText>
            </w:r>
            <w:r w:rsidR="005B5FD7">
              <w:rPr>
                <w:noProof/>
                <w:webHidden/>
              </w:rPr>
            </w:r>
            <w:r w:rsidR="005B5FD7">
              <w:rPr>
                <w:noProof/>
                <w:webHidden/>
              </w:rPr>
              <w:fldChar w:fldCharType="separate"/>
            </w:r>
            <w:r w:rsidR="005B5FD7">
              <w:rPr>
                <w:noProof/>
                <w:webHidden/>
              </w:rPr>
              <w:t>42</w:t>
            </w:r>
            <w:r w:rsidR="005B5FD7">
              <w:rPr>
                <w:noProof/>
                <w:webHidden/>
              </w:rPr>
              <w:fldChar w:fldCharType="end"/>
            </w:r>
          </w:hyperlink>
        </w:p>
        <w:p w14:paraId="46DFFA97" w14:textId="7D316D20" w:rsidR="005B5FD7" w:rsidRDefault="00A97F97">
          <w:pPr>
            <w:pStyle w:val="TOC2"/>
            <w:tabs>
              <w:tab w:val="right" w:leader="dot" w:pos="9016"/>
            </w:tabs>
            <w:rPr>
              <w:rFonts w:eastAsiaTheme="minorEastAsia"/>
              <w:noProof/>
              <w:sz w:val="22"/>
              <w:szCs w:val="22"/>
              <w:lang w:eastAsia="en-AU"/>
            </w:rPr>
          </w:pPr>
          <w:hyperlink w:anchor="_Toc120614307" w:history="1">
            <w:r w:rsidR="005B5FD7" w:rsidRPr="000B6EF5">
              <w:rPr>
                <w:rStyle w:val="Hyperlink"/>
                <w:rFonts w:ascii="Arial" w:eastAsia="Times New Roman" w:hAnsi="Arial" w:cs="Arial"/>
                <w:b/>
                <w:bCs/>
                <w:noProof/>
                <w:lang w:eastAsia="en-AU"/>
              </w:rPr>
              <w:t>6.7 Section 6: References and Resources</w:t>
            </w:r>
            <w:r w:rsidR="005B5FD7">
              <w:rPr>
                <w:noProof/>
                <w:webHidden/>
              </w:rPr>
              <w:tab/>
            </w:r>
            <w:r w:rsidR="005B5FD7">
              <w:rPr>
                <w:noProof/>
                <w:webHidden/>
              </w:rPr>
              <w:fldChar w:fldCharType="begin"/>
            </w:r>
            <w:r w:rsidR="005B5FD7">
              <w:rPr>
                <w:noProof/>
                <w:webHidden/>
              </w:rPr>
              <w:instrText xml:space="preserve"> PAGEREF _Toc120614307 \h </w:instrText>
            </w:r>
            <w:r w:rsidR="005B5FD7">
              <w:rPr>
                <w:noProof/>
                <w:webHidden/>
              </w:rPr>
            </w:r>
            <w:r w:rsidR="005B5FD7">
              <w:rPr>
                <w:noProof/>
                <w:webHidden/>
              </w:rPr>
              <w:fldChar w:fldCharType="separate"/>
            </w:r>
            <w:r w:rsidR="005B5FD7">
              <w:rPr>
                <w:noProof/>
                <w:webHidden/>
              </w:rPr>
              <w:t>43</w:t>
            </w:r>
            <w:r w:rsidR="005B5FD7">
              <w:rPr>
                <w:noProof/>
                <w:webHidden/>
              </w:rPr>
              <w:fldChar w:fldCharType="end"/>
            </w:r>
          </w:hyperlink>
        </w:p>
        <w:p w14:paraId="199D607A" w14:textId="2827178A" w:rsidR="005B5FD7" w:rsidRDefault="00A97F97">
          <w:pPr>
            <w:pStyle w:val="TOC2"/>
            <w:tabs>
              <w:tab w:val="right" w:leader="dot" w:pos="9016"/>
            </w:tabs>
            <w:rPr>
              <w:rFonts w:eastAsiaTheme="minorEastAsia"/>
              <w:noProof/>
              <w:sz w:val="22"/>
              <w:szCs w:val="22"/>
              <w:lang w:eastAsia="en-AU"/>
            </w:rPr>
          </w:pPr>
          <w:hyperlink w:anchor="_Toc120614308" w:history="1">
            <w:r w:rsidR="005B5FD7" w:rsidRPr="000B6EF5">
              <w:rPr>
                <w:rStyle w:val="Hyperlink"/>
                <w:rFonts w:ascii="Arial" w:eastAsia="Times New Roman" w:hAnsi="Arial" w:cs="Arial"/>
                <w:b/>
                <w:bCs/>
                <w:noProof/>
                <w:lang w:eastAsia="en-AU"/>
              </w:rPr>
              <w:t>7. Common Pregnancy Conditions - Treatment, Management and Recommendations</w:t>
            </w:r>
            <w:r w:rsidR="005B5FD7">
              <w:rPr>
                <w:noProof/>
                <w:webHidden/>
              </w:rPr>
              <w:tab/>
            </w:r>
            <w:r w:rsidR="005B5FD7">
              <w:rPr>
                <w:noProof/>
                <w:webHidden/>
              </w:rPr>
              <w:fldChar w:fldCharType="begin"/>
            </w:r>
            <w:r w:rsidR="005B5FD7">
              <w:rPr>
                <w:noProof/>
                <w:webHidden/>
              </w:rPr>
              <w:instrText xml:space="preserve"> PAGEREF _Toc120614308 \h </w:instrText>
            </w:r>
            <w:r w:rsidR="005B5FD7">
              <w:rPr>
                <w:noProof/>
                <w:webHidden/>
              </w:rPr>
            </w:r>
            <w:r w:rsidR="005B5FD7">
              <w:rPr>
                <w:noProof/>
                <w:webHidden/>
              </w:rPr>
              <w:fldChar w:fldCharType="separate"/>
            </w:r>
            <w:r w:rsidR="005B5FD7">
              <w:rPr>
                <w:noProof/>
                <w:webHidden/>
              </w:rPr>
              <w:t>47</w:t>
            </w:r>
            <w:r w:rsidR="005B5FD7">
              <w:rPr>
                <w:noProof/>
                <w:webHidden/>
              </w:rPr>
              <w:fldChar w:fldCharType="end"/>
            </w:r>
          </w:hyperlink>
        </w:p>
        <w:p w14:paraId="458AF832" w14:textId="45B35CD7" w:rsidR="005B5FD7" w:rsidRDefault="00A97F97">
          <w:pPr>
            <w:pStyle w:val="TOC2"/>
            <w:tabs>
              <w:tab w:val="right" w:leader="dot" w:pos="9016"/>
            </w:tabs>
            <w:rPr>
              <w:rFonts w:eastAsiaTheme="minorEastAsia"/>
              <w:noProof/>
              <w:sz w:val="22"/>
              <w:szCs w:val="22"/>
              <w:lang w:eastAsia="en-AU"/>
            </w:rPr>
          </w:pPr>
          <w:hyperlink w:anchor="_Toc120614309" w:history="1">
            <w:r w:rsidR="005B5FD7" w:rsidRPr="000B6EF5">
              <w:rPr>
                <w:rStyle w:val="Hyperlink"/>
                <w:rFonts w:ascii="Arial" w:eastAsia="Times New Roman" w:hAnsi="Arial" w:cs="Arial"/>
                <w:b/>
                <w:bCs/>
                <w:noProof/>
                <w:lang w:eastAsia="en-AU"/>
              </w:rPr>
              <w:t>7.1 Gestational Diabetes Mellitus (GDM)</w:t>
            </w:r>
            <w:r w:rsidR="005B5FD7">
              <w:rPr>
                <w:noProof/>
                <w:webHidden/>
              </w:rPr>
              <w:tab/>
            </w:r>
            <w:r w:rsidR="005B5FD7">
              <w:rPr>
                <w:noProof/>
                <w:webHidden/>
              </w:rPr>
              <w:fldChar w:fldCharType="begin"/>
            </w:r>
            <w:r w:rsidR="005B5FD7">
              <w:rPr>
                <w:noProof/>
                <w:webHidden/>
              </w:rPr>
              <w:instrText xml:space="preserve"> PAGEREF _Toc120614309 \h </w:instrText>
            </w:r>
            <w:r w:rsidR="005B5FD7">
              <w:rPr>
                <w:noProof/>
                <w:webHidden/>
              </w:rPr>
            </w:r>
            <w:r w:rsidR="005B5FD7">
              <w:rPr>
                <w:noProof/>
                <w:webHidden/>
              </w:rPr>
              <w:fldChar w:fldCharType="separate"/>
            </w:r>
            <w:r w:rsidR="005B5FD7">
              <w:rPr>
                <w:noProof/>
                <w:webHidden/>
              </w:rPr>
              <w:t>47</w:t>
            </w:r>
            <w:r w:rsidR="005B5FD7">
              <w:rPr>
                <w:noProof/>
                <w:webHidden/>
              </w:rPr>
              <w:fldChar w:fldCharType="end"/>
            </w:r>
          </w:hyperlink>
        </w:p>
        <w:p w14:paraId="7F6061C3" w14:textId="74C31658" w:rsidR="005B5FD7" w:rsidRDefault="00A97F97">
          <w:pPr>
            <w:pStyle w:val="TOC2"/>
            <w:tabs>
              <w:tab w:val="right" w:leader="dot" w:pos="9016"/>
            </w:tabs>
            <w:rPr>
              <w:rFonts w:eastAsiaTheme="minorEastAsia"/>
              <w:noProof/>
              <w:sz w:val="22"/>
              <w:szCs w:val="22"/>
              <w:lang w:eastAsia="en-AU"/>
            </w:rPr>
          </w:pPr>
          <w:hyperlink w:anchor="_Toc120614310" w:history="1">
            <w:r w:rsidR="005B5FD7" w:rsidRPr="000B6EF5">
              <w:rPr>
                <w:rStyle w:val="Hyperlink"/>
                <w:rFonts w:ascii="Arial" w:eastAsia="Times New Roman" w:hAnsi="Arial" w:cs="Arial"/>
                <w:b/>
                <w:bCs/>
                <w:noProof/>
                <w:lang w:eastAsia="en-AU"/>
              </w:rPr>
              <w:t>7.2 RhD Alloimmunization in Pregnancy</w:t>
            </w:r>
            <w:r w:rsidR="005B5FD7">
              <w:rPr>
                <w:noProof/>
                <w:webHidden/>
              </w:rPr>
              <w:tab/>
            </w:r>
            <w:r w:rsidR="005B5FD7">
              <w:rPr>
                <w:noProof/>
                <w:webHidden/>
              </w:rPr>
              <w:fldChar w:fldCharType="begin"/>
            </w:r>
            <w:r w:rsidR="005B5FD7">
              <w:rPr>
                <w:noProof/>
                <w:webHidden/>
              </w:rPr>
              <w:instrText xml:space="preserve"> PAGEREF _Toc120614310 \h </w:instrText>
            </w:r>
            <w:r w:rsidR="005B5FD7">
              <w:rPr>
                <w:noProof/>
                <w:webHidden/>
              </w:rPr>
            </w:r>
            <w:r w:rsidR="005B5FD7">
              <w:rPr>
                <w:noProof/>
                <w:webHidden/>
              </w:rPr>
              <w:fldChar w:fldCharType="separate"/>
            </w:r>
            <w:r w:rsidR="005B5FD7">
              <w:rPr>
                <w:noProof/>
                <w:webHidden/>
              </w:rPr>
              <w:t>49</w:t>
            </w:r>
            <w:r w:rsidR="005B5FD7">
              <w:rPr>
                <w:noProof/>
                <w:webHidden/>
              </w:rPr>
              <w:fldChar w:fldCharType="end"/>
            </w:r>
          </w:hyperlink>
        </w:p>
        <w:p w14:paraId="2F93809C" w14:textId="5EC46F7B" w:rsidR="005B5FD7" w:rsidRDefault="00A97F97">
          <w:pPr>
            <w:pStyle w:val="TOC2"/>
            <w:tabs>
              <w:tab w:val="right" w:leader="dot" w:pos="9016"/>
            </w:tabs>
            <w:rPr>
              <w:rFonts w:eastAsiaTheme="minorEastAsia"/>
              <w:noProof/>
              <w:sz w:val="22"/>
              <w:szCs w:val="22"/>
              <w:lang w:eastAsia="en-AU"/>
            </w:rPr>
          </w:pPr>
          <w:hyperlink w:anchor="_Toc120614311" w:history="1">
            <w:r w:rsidR="005B5FD7" w:rsidRPr="000B6EF5">
              <w:rPr>
                <w:rStyle w:val="Hyperlink"/>
                <w:rFonts w:ascii="Arial" w:eastAsia="Times New Roman" w:hAnsi="Arial" w:cs="Arial"/>
                <w:b/>
                <w:bCs/>
                <w:noProof/>
                <w:lang w:eastAsia="en-AU"/>
              </w:rPr>
              <w:t>7.3 Anaemia in pregnancy</w:t>
            </w:r>
            <w:r w:rsidR="005B5FD7">
              <w:rPr>
                <w:noProof/>
                <w:webHidden/>
              </w:rPr>
              <w:tab/>
            </w:r>
            <w:r w:rsidR="005B5FD7">
              <w:rPr>
                <w:noProof/>
                <w:webHidden/>
              </w:rPr>
              <w:fldChar w:fldCharType="begin"/>
            </w:r>
            <w:r w:rsidR="005B5FD7">
              <w:rPr>
                <w:noProof/>
                <w:webHidden/>
              </w:rPr>
              <w:instrText xml:space="preserve"> PAGEREF _Toc120614311 \h </w:instrText>
            </w:r>
            <w:r w:rsidR="005B5FD7">
              <w:rPr>
                <w:noProof/>
                <w:webHidden/>
              </w:rPr>
            </w:r>
            <w:r w:rsidR="005B5FD7">
              <w:rPr>
                <w:noProof/>
                <w:webHidden/>
              </w:rPr>
              <w:fldChar w:fldCharType="separate"/>
            </w:r>
            <w:r w:rsidR="005B5FD7">
              <w:rPr>
                <w:noProof/>
                <w:webHidden/>
              </w:rPr>
              <w:t>51</w:t>
            </w:r>
            <w:r w:rsidR="005B5FD7">
              <w:rPr>
                <w:noProof/>
                <w:webHidden/>
              </w:rPr>
              <w:fldChar w:fldCharType="end"/>
            </w:r>
          </w:hyperlink>
        </w:p>
        <w:p w14:paraId="48B9A36F" w14:textId="77A93293" w:rsidR="005B5FD7" w:rsidRDefault="00A97F97">
          <w:pPr>
            <w:pStyle w:val="TOC2"/>
            <w:tabs>
              <w:tab w:val="right" w:leader="dot" w:pos="9016"/>
            </w:tabs>
            <w:rPr>
              <w:rFonts w:eastAsiaTheme="minorEastAsia"/>
              <w:noProof/>
              <w:sz w:val="22"/>
              <w:szCs w:val="22"/>
              <w:lang w:eastAsia="en-AU"/>
            </w:rPr>
          </w:pPr>
          <w:hyperlink w:anchor="_Toc120614312" w:history="1">
            <w:r w:rsidR="005B5FD7" w:rsidRPr="000B6EF5">
              <w:rPr>
                <w:rStyle w:val="Hyperlink"/>
                <w:rFonts w:ascii="Arial" w:eastAsia="Times New Roman" w:hAnsi="Arial" w:cs="Arial"/>
                <w:b/>
                <w:bCs/>
                <w:noProof/>
                <w:lang w:eastAsia="en-AU"/>
              </w:rPr>
              <w:t>7.4 Iron Deficiency</w:t>
            </w:r>
            <w:r w:rsidR="005B5FD7">
              <w:rPr>
                <w:noProof/>
                <w:webHidden/>
              </w:rPr>
              <w:tab/>
            </w:r>
            <w:r w:rsidR="005B5FD7">
              <w:rPr>
                <w:noProof/>
                <w:webHidden/>
              </w:rPr>
              <w:fldChar w:fldCharType="begin"/>
            </w:r>
            <w:r w:rsidR="005B5FD7">
              <w:rPr>
                <w:noProof/>
                <w:webHidden/>
              </w:rPr>
              <w:instrText xml:space="preserve"> PAGEREF _Toc120614312 \h </w:instrText>
            </w:r>
            <w:r w:rsidR="005B5FD7">
              <w:rPr>
                <w:noProof/>
                <w:webHidden/>
              </w:rPr>
            </w:r>
            <w:r w:rsidR="005B5FD7">
              <w:rPr>
                <w:noProof/>
                <w:webHidden/>
              </w:rPr>
              <w:fldChar w:fldCharType="separate"/>
            </w:r>
            <w:r w:rsidR="005B5FD7">
              <w:rPr>
                <w:noProof/>
                <w:webHidden/>
              </w:rPr>
              <w:t>51</w:t>
            </w:r>
            <w:r w:rsidR="005B5FD7">
              <w:rPr>
                <w:noProof/>
                <w:webHidden/>
              </w:rPr>
              <w:fldChar w:fldCharType="end"/>
            </w:r>
          </w:hyperlink>
        </w:p>
        <w:p w14:paraId="14BFAD19" w14:textId="7E013F42" w:rsidR="005B5FD7" w:rsidRDefault="00A97F97">
          <w:pPr>
            <w:pStyle w:val="TOC2"/>
            <w:tabs>
              <w:tab w:val="right" w:leader="dot" w:pos="9016"/>
            </w:tabs>
            <w:rPr>
              <w:rFonts w:eastAsiaTheme="minorEastAsia"/>
              <w:noProof/>
              <w:sz w:val="22"/>
              <w:szCs w:val="22"/>
              <w:lang w:eastAsia="en-AU"/>
            </w:rPr>
          </w:pPr>
          <w:hyperlink w:anchor="_Toc120614313" w:history="1">
            <w:r w:rsidR="005B5FD7" w:rsidRPr="000B6EF5">
              <w:rPr>
                <w:rStyle w:val="Hyperlink"/>
                <w:rFonts w:ascii="Arial" w:eastAsia="Times New Roman" w:hAnsi="Arial" w:cs="Arial"/>
                <w:b/>
                <w:bCs/>
                <w:noProof/>
                <w:lang w:eastAsia="en-AU"/>
              </w:rPr>
              <w:t>7.5 Folate Deficiency</w:t>
            </w:r>
            <w:r w:rsidR="005B5FD7">
              <w:rPr>
                <w:noProof/>
                <w:webHidden/>
              </w:rPr>
              <w:tab/>
            </w:r>
            <w:r w:rsidR="005B5FD7">
              <w:rPr>
                <w:noProof/>
                <w:webHidden/>
              </w:rPr>
              <w:fldChar w:fldCharType="begin"/>
            </w:r>
            <w:r w:rsidR="005B5FD7">
              <w:rPr>
                <w:noProof/>
                <w:webHidden/>
              </w:rPr>
              <w:instrText xml:space="preserve"> PAGEREF _Toc120614313 \h </w:instrText>
            </w:r>
            <w:r w:rsidR="005B5FD7">
              <w:rPr>
                <w:noProof/>
                <w:webHidden/>
              </w:rPr>
            </w:r>
            <w:r w:rsidR="005B5FD7">
              <w:rPr>
                <w:noProof/>
                <w:webHidden/>
              </w:rPr>
              <w:fldChar w:fldCharType="separate"/>
            </w:r>
            <w:r w:rsidR="005B5FD7">
              <w:rPr>
                <w:noProof/>
                <w:webHidden/>
              </w:rPr>
              <w:t>53</w:t>
            </w:r>
            <w:r w:rsidR="005B5FD7">
              <w:rPr>
                <w:noProof/>
                <w:webHidden/>
              </w:rPr>
              <w:fldChar w:fldCharType="end"/>
            </w:r>
          </w:hyperlink>
        </w:p>
        <w:p w14:paraId="18604E68" w14:textId="17B66CB1" w:rsidR="005B5FD7" w:rsidRDefault="00A97F97">
          <w:pPr>
            <w:pStyle w:val="TOC2"/>
            <w:tabs>
              <w:tab w:val="right" w:leader="dot" w:pos="9016"/>
            </w:tabs>
            <w:rPr>
              <w:rFonts w:eastAsiaTheme="minorEastAsia"/>
              <w:noProof/>
              <w:sz w:val="22"/>
              <w:szCs w:val="22"/>
              <w:lang w:eastAsia="en-AU"/>
            </w:rPr>
          </w:pPr>
          <w:hyperlink w:anchor="_Toc120614314" w:history="1">
            <w:r w:rsidR="005B5FD7" w:rsidRPr="000B6EF5">
              <w:rPr>
                <w:rStyle w:val="Hyperlink"/>
                <w:rFonts w:ascii="Arial" w:eastAsia="Times New Roman" w:hAnsi="Arial" w:cs="Arial"/>
                <w:b/>
                <w:bCs/>
                <w:noProof/>
                <w:lang w:eastAsia="en-AU"/>
              </w:rPr>
              <w:t>7.6 Vitamin B12 deficiency</w:t>
            </w:r>
            <w:r w:rsidR="005B5FD7">
              <w:rPr>
                <w:noProof/>
                <w:webHidden/>
              </w:rPr>
              <w:tab/>
            </w:r>
            <w:r w:rsidR="005B5FD7">
              <w:rPr>
                <w:noProof/>
                <w:webHidden/>
              </w:rPr>
              <w:fldChar w:fldCharType="begin"/>
            </w:r>
            <w:r w:rsidR="005B5FD7">
              <w:rPr>
                <w:noProof/>
                <w:webHidden/>
              </w:rPr>
              <w:instrText xml:space="preserve"> PAGEREF _Toc120614314 \h </w:instrText>
            </w:r>
            <w:r w:rsidR="005B5FD7">
              <w:rPr>
                <w:noProof/>
                <w:webHidden/>
              </w:rPr>
            </w:r>
            <w:r w:rsidR="005B5FD7">
              <w:rPr>
                <w:noProof/>
                <w:webHidden/>
              </w:rPr>
              <w:fldChar w:fldCharType="separate"/>
            </w:r>
            <w:r w:rsidR="005B5FD7">
              <w:rPr>
                <w:noProof/>
                <w:webHidden/>
              </w:rPr>
              <w:t>54</w:t>
            </w:r>
            <w:r w:rsidR="005B5FD7">
              <w:rPr>
                <w:noProof/>
                <w:webHidden/>
              </w:rPr>
              <w:fldChar w:fldCharType="end"/>
            </w:r>
          </w:hyperlink>
        </w:p>
        <w:p w14:paraId="41ACB9B5" w14:textId="79D408C9" w:rsidR="005B5FD7" w:rsidRDefault="00A97F97">
          <w:pPr>
            <w:pStyle w:val="TOC2"/>
            <w:tabs>
              <w:tab w:val="right" w:leader="dot" w:pos="9016"/>
            </w:tabs>
            <w:rPr>
              <w:rFonts w:eastAsiaTheme="minorEastAsia"/>
              <w:noProof/>
              <w:sz w:val="22"/>
              <w:szCs w:val="22"/>
              <w:lang w:eastAsia="en-AU"/>
            </w:rPr>
          </w:pPr>
          <w:hyperlink w:anchor="_Toc120614315" w:history="1">
            <w:r w:rsidR="005B5FD7" w:rsidRPr="000B6EF5">
              <w:rPr>
                <w:rStyle w:val="Hyperlink"/>
                <w:rFonts w:ascii="Arial" w:eastAsia="Times New Roman" w:hAnsi="Arial" w:cs="Arial"/>
                <w:b/>
                <w:bCs/>
                <w:noProof/>
                <w:lang w:eastAsia="en-AU"/>
              </w:rPr>
              <w:t>7.7 Haemoglobinopathies</w:t>
            </w:r>
            <w:r w:rsidR="005B5FD7">
              <w:rPr>
                <w:noProof/>
                <w:webHidden/>
              </w:rPr>
              <w:tab/>
            </w:r>
            <w:r w:rsidR="005B5FD7">
              <w:rPr>
                <w:noProof/>
                <w:webHidden/>
              </w:rPr>
              <w:fldChar w:fldCharType="begin"/>
            </w:r>
            <w:r w:rsidR="005B5FD7">
              <w:rPr>
                <w:noProof/>
                <w:webHidden/>
              </w:rPr>
              <w:instrText xml:space="preserve"> PAGEREF _Toc120614315 \h </w:instrText>
            </w:r>
            <w:r w:rsidR="005B5FD7">
              <w:rPr>
                <w:noProof/>
                <w:webHidden/>
              </w:rPr>
            </w:r>
            <w:r w:rsidR="005B5FD7">
              <w:rPr>
                <w:noProof/>
                <w:webHidden/>
              </w:rPr>
              <w:fldChar w:fldCharType="separate"/>
            </w:r>
            <w:r w:rsidR="005B5FD7">
              <w:rPr>
                <w:noProof/>
                <w:webHidden/>
              </w:rPr>
              <w:t>55</w:t>
            </w:r>
            <w:r w:rsidR="005B5FD7">
              <w:rPr>
                <w:noProof/>
                <w:webHidden/>
              </w:rPr>
              <w:fldChar w:fldCharType="end"/>
            </w:r>
          </w:hyperlink>
        </w:p>
        <w:p w14:paraId="1A5D2B00" w14:textId="52048DCE" w:rsidR="005B5FD7" w:rsidRDefault="00A97F97">
          <w:pPr>
            <w:pStyle w:val="TOC2"/>
            <w:tabs>
              <w:tab w:val="right" w:leader="dot" w:pos="9016"/>
            </w:tabs>
            <w:rPr>
              <w:rFonts w:eastAsiaTheme="minorEastAsia"/>
              <w:noProof/>
              <w:sz w:val="22"/>
              <w:szCs w:val="22"/>
              <w:lang w:eastAsia="en-AU"/>
            </w:rPr>
          </w:pPr>
          <w:hyperlink w:anchor="_Toc120614316" w:history="1">
            <w:r w:rsidR="005B5FD7" w:rsidRPr="000B6EF5">
              <w:rPr>
                <w:rStyle w:val="Hyperlink"/>
                <w:rFonts w:ascii="Arial" w:eastAsia="Times New Roman" w:hAnsi="Arial" w:cs="Arial"/>
                <w:b/>
                <w:bCs/>
                <w:noProof/>
                <w:lang w:eastAsia="en-AU"/>
              </w:rPr>
              <w:t>7.8 Hypertensive disorders of pregnancy (HDP)</w:t>
            </w:r>
            <w:r w:rsidR="005B5FD7">
              <w:rPr>
                <w:noProof/>
                <w:webHidden/>
              </w:rPr>
              <w:tab/>
            </w:r>
            <w:r w:rsidR="005B5FD7">
              <w:rPr>
                <w:noProof/>
                <w:webHidden/>
              </w:rPr>
              <w:fldChar w:fldCharType="begin"/>
            </w:r>
            <w:r w:rsidR="005B5FD7">
              <w:rPr>
                <w:noProof/>
                <w:webHidden/>
              </w:rPr>
              <w:instrText xml:space="preserve"> PAGEREF _Toc120614316 \h </w:instrText>
            </w:r>
            <w:r w:rsidR="005B5FD7">
              <w:rPr>
                <w:noProof/>
                <w:webHidden/>
              </w:rPr>
            </w:r>
            <w:r w:rsidR="005B5FD7">
              <w:rPr>
                <w:noProof/>
                <w:webHidden/>
              </w:rPr>
              <w:fldChar w:fldCharType="separate"/>
            </w:r>
            <w:r w:rsidR="005B5FD7">
              <w:rPr>
                <w:noProof/>
                <w:webHidden/>
              </w:rPr>
              <w:t>57</w:t>
            </w:r>
            <w:r w:rsidR="005B5FD7">
              <w:rPr>
                <w:noProof/>
                <w:webHidden/>
              </w:rPr>
              <w:fldChar w:fldCharType="end"/>
            </w:r>
          </w:hyperlink>
        </w:p>
        <w:p w14:paraId="0347551A" w14:textId="2C8D18CC" w:rsidR="005B5FD7" w:rsidRDefault="00A97F97">
          <w:pPr>
            <w:pStyle w:val="TOC2"/>
            <w:tabs>
              <w:tab w:val="right" w:leader="dot" w:pos="9016"/>
            </w:tabs>
            <w:rPr>
              <w:rFonts w:eastAsiaTheme="minorEastAsia"/>
              <w:noProof/>
              <w:sz w:val="22"/>
              <w:szCs w:val="22"/>
              <w:lang w:eastAsia="en-AU"/>
            </w:rPr>
          </w:pPr>
          <w:hyperlink w:anchor="_Toc120614317" w:history="1">
            <w:r w:rsidR="005B5FD7" w:rsidRPr="000B6EF5">
              <w:rPr>
                <w:rStyle w:val="Hyperlink"/>
                <w:rFonts w:ascii="Arial" w:eastAsia="Times New Roman" w:hAnsi="Arial" w:cs="Arial"/>
                <w:b/>
                <w:bCs/>
                <w:noProof/>
                <w:lang w:eastAsia="en-AU"/>
              </w:rPr>
              <w:t>7.9 Section 7 References and Resources</w:t>
            </w:r>
            <w:r w:rsidR="005B5FD7">
              <w:rPr>
                <w:noProof/>
                <w:webHidden/>
              </w:rPr>
              <w:tab/>
            </w:r>
            <w:r w:rsidR="005B5FD7">
              <w:rPr>
                <w:noProof/>
                <w:webHidden/>
              </w:rPr>
              <w:fldChar w:fldCharType="begin"/>
            </w:r>
            <w:r w:rsidR="005B5FD7">
              <w:rPr>
                <w:noProof/>
                <w:webHidden/>
              </w:rPr>
              <w:instrText xml:space="preserve"> PAGEREF _Toc120614317 \h </w:instrText>
            </w:r>
            <w:r w:rsidR="005B5FD7">
              <w:rPr>
                <w:noProof/>
                <w:webHidden/>
              </w:rPr>
            </w:r>
            <w:r w:rsidR="005B5FD7">
              <w:rPr>
                <w:noProof/>
                <w:webHidden/>
              </w:rPr>
              <w:fldChar w:fldCharType="separate"/>
            </w:r>
            <w:r w:rsidR="005B5FD7">
              <w:rPr>
                <w:noProof/>
                <w:webHidden/>
              </w:rPr>
              <w:t>60</w:t>
            </w:r>
            <w:r w:rsidR="005B5FD7">
              <w:rPr>
                <w:noProof/>
                <w:webHidden/>
              </w:rPr>
              <w:fldChar w:fldCharType="end"/>
            </w:r>
          </w:hyperlink>
        </w:p>
        <w:p w14:paraId="62987F77" w14:textId="47F8446E" w:rsidR="005B5FD7" w:rsidRDefault="00A97F97">
          <w:pPr>
            <w:pStyle w:val="TOC2"/>
            <w:tabs>
              <w:tab w:val="right" w:leader="dot" w:pos="9016"/>
            </w:tabs>
            <w:rPr>
              <w:rFonts w:eastAsiaTheme="minorEastAsia"/>
              <w:noProof/>
              <w:sz w:val="22"/>
              <w:szCs w:val="22"/>
              <w:lang w:eastAsia="en-AU"/>
            </w:rPr>
          </w:pPr>
          <w:hyperlink w:anchor="_Toc120614318" w:history="1">
            <w:r w:rsidR="005B5FD7" w:rsidRPr="000B6EF5">
              <w:rPr>
                <w:rStyle w:val="Hyperlink"/>
                <w:rFonts w:ascii="Arial" w:eastAsia="Times New Roman" w:hAnsi="Arial" w:cs="Arial"/>
                <w:b/>
                <w:bCs/>
                <w:noProof/>
                <w:lang w:eastAsia="en-AU"/>
              </w:rPr>
              <w:t>8. Mental Health in Pregnancy</w:t>
            </w:r>
            <w:r w:rsidR="005B5FD7">
              <w:rPr>
                <w:noProof/>
                <w:webHidden/>
              </w:rPr>
              <w:tab/>
            </w:r>
            <w:r w:rsidR="005B5FD7">
              <w:rPr>
                <w:noProof/>
                <w:webHidden/>
              </w:rPr>
              <w:fldChar w:fldCharType="begin"/>
            </w:r>
            <w:r w:rsidR="005B5FD7">
              <w:rPr>
                <w:noProof/>
                <w:webHidden/>
              </w:rPr>
              <w:instrText xml:space="preserve"> PAGEREF _Toc120614318 \h </w:instrText>
            </w:r>
            <w:r w:rsidR="005B5FD7">
              <w:rPr>
                <w:noProof/>
                <w:webHidden/>
              </w:rPr>
            </w:r>
            <w:r w:rsidR="005B5FD7">
              <w:rPr>
                <w:noProof/>
                <w:webHidden/>
              </w:rPr>
              <w:fldChar w:fldCharType="separate"/>
            </w:r>
            <w:r w:rsidR="005B5FD7">
              <w:rPr>
                <w:noProof/>
                <w:webHidden/>
              </w:rPr>
              <w:t>62</w:t>
            </w:r>
            <w:r w:rsidR="005B5FD7">
              <w:rPr>
                <w:noProof/>
                <w:webHidden/>
              </w:rPr>
              <w:fldChar w:fldCharType="end"/>
            </w:r>
          </w:hyperlink>
        </w:p>
        <w:p w14:paraId="0F5EDAD7" w14:textId="0DF48980" w:rsidR="005B5FD7" w:rsidRDefault="00A97F97">
          <w:pPr>
            <w:pStyle w:val="TOC2"/>
            <w:tabs>
              <w:tab w:val="right" w:leader="dot" w:pos="9016"/>
            </w:tabs>
            <w:rPr>
              <w:rFonts w:eastAsiaTheme="minorEastAsia"/>
              <w:noProof/>
              <w:sz w:val="22"/>
              <w:szCs w:val="22"/>
              <w:lang w:eastAsia="en-AU"/>
            </w:rPr>
          </w:pPr>
          <w:hyperlink w:anchor="_Toc120614319" w:history="1">
            <w:r w:rsidR="005B5FD7" w:rsidRPr="000B6EF5">
              <w:rPr>
                <w:rStyle w:val="Hyperlink"/>
                <w:rFonts w:ascii="Arial" w:eastAsia="Times New Roman" w:hAnsi="Arial" w:cs="Arial"/>
                <w:b/>
                <w:bCs/>
                <w:noProof/>
                <w:lang w:eastAsia="en-AU"/>
              </w:rPr>
              <w:t>9. Post Natal Care</w:t>
            </w:r>
            <w:r w:rsidR="005B5FD7">
              <w:rPr>
                <w:noProof/>
                <w:webHidden/>
              </w:rPr>
              <w:tab/>
            </w:r>
            <w:r w:rsidR="005B5FD7">
              <w:rPr>
                <w:noProof/>
                <w:webHidden/>
              </w:rPr>
              <w:fldChar w:fldCharType="begin"/>
            </w:r>
            <w:r w:rsidR="005B5FD7">
              <w:rPr>
                <w:noProof/>
                <w:webHidden/>
              </w:rPr>
              <w:instrText xml:space="preserve"> PAGEREF _Toc120614319 \h </w:instrText>
            </w:r>
            <w:r w:rsidR="005B5FD7">
              <w:rPr>
                <w:noProof/>
                <w:webHidden/>
              </w:rPr>
            </w:r>
            <w:r w:rsidR="005B5FD7">
              <w:rPr>
                <w:noProof/>
                <w:webHidden/>
              </w:rPr>
              <w:fldChar w:fldCharType="separate"/>
            </w:r>
            <w:r w:rsidR="005B5FD7">
              <w:rPr>
                <w:noProof/>
                <w:webHidden/>
              </w:rPr>
              <w:t>63</w:t>
            </w:r>
            <w:r w:rsidR="005B5FD7">
              <w:rPr>
                <w:noProof/>
                <w:webHidden/>
              </w:rPr>
              <w:fldChar w:fldCharType="end"/>
            </w:r>
          </w:hyperlink>
        </w:p>
        <w:p w14:paraId="44FE3615" w14:textId="2E0EB099" w:rsidR="005B5FD7" w:rsidRDefault="00A97F97">
          <w:pPr>
            <w:pStyle w:val="TOC2"/>
            <w:tabs>
              <w:tab w:val="right" w:leader="dot" w:pos="9016"/>
            </w:tabs>
            <w:rPr>
              <w:rFonts w:eastAsiaTheme="minorEastAsia"/>
              <w:noProof/>
              <w:sz w:val="22"/>
              <w:szCs w:val="22"/>
              <w:lang w:eastAsia="en-AU"/>
            </w:rPr>
          </w:pPr>
          <w:hyperlink w:anchor="_Toc120614320" w:history="1">
            <w:r w:rsidR="005B5FD7" w:rsidRPr="000B6EF5">
              <w:rPr>
                <w:rStyle w:val="Hyperlink"/>
                <w:rFonts w:ascii="Arial" w:eastAsia="Times New Roman" w:hAnsi="Arial" w:cs="Arial"/>
                <w:b/>
                <w:bCs/>
                <w:noProof/>
                <w:lang w:eastAsia="en-AU"/>
              </w:rPr>
              <w:t>9.1 Anomalies in Newborn Screening Examinations</w:t>
            </w:r>
            <w:r w:rsidR="005B5FD7">
              <w:rPr>
                <w:noProof/>
                <w:webHidden/>
              </w:rPr>
              <w:tab/>
            </w:r>
            <w:r w:rsidR="005B5FD7">
              <w:rPr>
                <w:noProof/>
                <w:webHidden/>
              </w:rPr>
              <w:fldChar w:fldCharType="begin"/>
            </w:r>
            <w:r w:rsidR="005B5FD7">
              <w:rPr>
                <w:noProof/>
                <w:webHidden/>
              </w:rPr>
              <w:instrText xml:space="preserve"> PAGEREF _Toc120614320 \h </w:instrText>
            </w:r>
            <w:r w:rsidR="005B5FD7">
              <w:rPr>
                <w:noProof/>
                <w:webHidden/>
              </w:rPr>
            </w:r>
            <w:r w:rsidR="005B5FD7">
              <w:rPr>
                <w:noProof/>
                <w:webHidden/>
              </w:rPr>
              <w:fldChar w:fldCharType="separate"/>
            </w:r>
            <w:r w:rsidR="005B5FD7">
              <w:rPr>
                <w:noProof/>
                <w:webHidden/>
              </w:rPr>
              <w:t>64</w:t>
            </w:r>
            <w:r w:rsidR="005B5FD7">
              <w:rPr>
                <w:noProof/>
                <w:webHidden/>
              </w:rPr>
              <w:fldChar w:fldCharType="end"/>
            </w:r>
          </w:hyperlink>
        </w:p>
        <w:p w14:paraId="676DA482" w14:textId="37931B2F" w:rsidR="005B5FD7" w:rsidRDefault="00A97F97">
          <w:pPr>
            <w:pStyle w:val="TOC2"/>
            <w:tabs>
              <w:tab w:val="right" w:leader="dot" w:pos="9016"/>
            </w:tabs>
            <w:rPr>
              <w:rFonts w:eastAsiaTheme="minorEastAsia"/>
              <w:noProof/>
              <w:sz w:val="22"/>
              <w:szCs w:val="22"/>
              <w:lang w:eastAsia="en-AU"/>
            </w:rPr>
          </w:pPr>
          <w:hyperlink w:anchor="_Toc120614321" w:history="1">
            <w:r w:rsidR="005B5FD7" w:rsidRPr="000B6EF5">
              <w:rPr>
                <w:rStyle w:val="Hyperlink"/>
                <w:rFonts w:ascii="Arial" w:hAnsi="Arial" w:cs="Arial"/>
                <w:b/>
                <w:bCs/>
                <w:noProof/>
              </w:rPr>
              <w:t>Newborn Screening Bloodspot Test -</w:t>
            </w:r>
            <w:r w:rsidR="005B5FD7">
              <w:rPr>
                <w:noProof/>
                <w:webHidden/>
              </w:rPr>
              <w:tab/>
            </w:r>
            <w:r w:rsidR="005B5FD7">
              <w:rPr>
                <w:noProof/>
                <w:webHidden/>
              </w:rPr>
              <w:fldChar w:fldCharType="begin"/>
            </w:r>
            <w:r w:rsidR="005B5FD7">
              <w:rPr>
                <w:noProof/>
                <w:webHidden/>
              </w:rPr>
              <w:instrText xml:space="preserve"> PAGEREF _Toc120614321 \h </w:instrText>
            </w:r>
            <w:r w:rsidR="005B5FD7">
              <w:rPr>
                <w:noProof/>
                <w:webHidden/>
              </w:rPr>
            </w:r>
            <w:r w:rsidR="005B5FD7">
              <w:rPr>
                <w:noProof/>
                <w:webHidden/>
              </w:rPr>
              <w:fldChar w:fldCharType="separate"/>
            </w:r>
            <w:r w:rsidR="005B5FD7">
              <w:rPr>
                <w:noProof/>
                <w:webHidden/>
              </w:rPr>
              <w:t>64</w:t>
            </w:r>
            <w:r w:rsidR="005B5FD7">
              <w:rPr>
                <w:noProof/>
                <w:webHidden/>
              </w:rPr>
              <w:fldChar w:fldCharType="end"/>
            </w:r>
          </w:hyperlink>
        </w:p>
        <w:p w14:paraId="744D0A1B" w14:textId="547592D2" w:rsidR="005B5FD7" w:rsidRDefault="00A97F97">
          <w:pPr>
            <w:pStyle w:val="TOC2"/>
            <w:tabs>
              <w:tab w:val="right" w:leader="dot" w:pos="9016"/>
            </w:tabs>
            <w:rPr>
              <w:rFonts w:eastAsiaTheme="minorEastAsia"/>
              <w:noProof/>
              <w:sz w:val="22"/>
              <w:szCs w:val="22"/>
              <w:lang w:eastAsia="en-AU"/>
            </w:rPr>
          </w:pPr>
          <w:hyperlink w:anchor="_Toc120614322" w:history="1">
            <w:r w:rsidR="005B5FD7" w:rsidRPr="000B6EF5">
              <w:rPr>
                <w:rStyle w:val="Hyperlink"/>
                <w:rFonts w:ascii="Arial" w:eastAsia="Times New Roman" w:hAnsi="Arial" w:cs="Arial"/>
                <w:b/>
                <w:bCs/>
                <w:noProof/>
                <w:lang w:eastAsia="en-AU"/>
              </w:rPr>
              <w:t>9.2 Extended Post-natal Care in the Community</w:t>
            </w:r>
            <w:r w:rsidR="005B5FD7">
              <w:rPr>
                <w:noProof/>
                <w:webHidden/>
              </w:rPr>
              <w:tab/>
            </w:r>
            <w:r w:rsidR="005B5FD7">
              <w:rPr>
                <w:noProof/>
                <w:webHidden/>
              </w:rPr>
              <w:fldChar w:fldCharType="begin"/>
            </w:r>
            <w:r w:rsidR="005B5FD7">
              <w:rPr>
                <w:noProof/>
                <w:webHidden/>
              </w:rPr>
              <w:instrText xml:space="preserve"> PAGEREF _Toc120614322 \h </w:instrText>
            </w:r>
            <w:r w:rsidR="005B5FD7">
              <w:rPr>
                <w:noProof/>
                <w:webHidden/>
              </w:rPr>
            </w:r>
            <w:r w:rsidR="005B5FD7">
              <w:rPr>
                <w:noProof/>
                <w:webHidden/>
              </w:rPr>
              <w:fldChar w:fldCharType="separate"/>
            </w:r>
            <w:r w:rsidR="005B5FD7">
              <w:rPr>
                <w:noProof/>
                <w:webHidden/>
              </w:rPr>
              <w:t>64</w:t>
            </w:r>
            <w:r w:rsidR="005B5FD7">
              <w:rPr>
                <w:noProof/>
                <w:webHidden/>
              </w:rPr>
              <w:fldChar w:fldCharType="end"/>
            </w:r>
          </w:hyperlink>
        </w:p>
        <w:p w14:paraId="4A89A9D1" w14:textId="33A9CC65" w:rsidR="005B5FD7" w:rsidRDefault="00A97F97">
          <w:pPr>
            <w:pStyle w:val="TOC2"/>
            <w:tabs>
              <w:tab w:val="right" w:leader="dot" w:pos="9016"/>
            </w:tabs>
            <w:rPr>
              <w:rFonts w:eastAsiaTheme="minorEastAsia"/>
              <w:noProof/>
              <w:sz w:val="22"/>
              <w:szCs w:val="22"/>
              <w:lang w:eastAsia="en-AU"/>
            </w:rPr>
          </w:pPr>
          <w:hyperlink w:anchor="_Toc120614323" w:history="1">
            <w:r w:rsidR="005B5FD7" w:rsidRPr="000B6EF5">
              <w:rPr>
                <w:rStyle w:val="Hyperlink"/>
                <w:rFonts w:ascii="Arial" w:eastAsia="Times New Roman" w:hAnsi="Arial" w:cs="Arial"/>
                <w:b/>
                <w:bCs/>
                <w:noProof/>
                <w:lang w:eastAsia="en-AU"/>
              </w:rPr>
              <w:t>9.3 Lactation Services at Eastern Health</w:t>
            </w:r>
            <w:r w:rsidR="005B5FD7">
              <w:rPr>
                <w:noProof/>
                <w:webHidden/>
              </w:rPr>
              <w:tab/>
            </w:r>
            <w:r w:rsidR="005B5FD7">
              <w:rPr>
                <w:noProof/>
                <w:webHidden/>
              </w:rPr>
              <w:fldChar w:fldCharType="begin"/>
            </w:r>
            <w:r w:rsidR="005B5FD7">
              <w:rPr>
                <w:noProof/>
                <w:webHidden/>
              </w:rPr>
              <w:instrText xml:space="preserve"> PAGEREF _Toc120614323 \h </w:instrText>
            </w:r>
            <w:r w:rsidR="005B5FD7">
              <w:rPr>
                <w:noProof/>
                <w:webHidden/>
              </w:rPr>
            </w:r>
            <w:r w:rsidR="005B5FD7">
              <w:rPr>
                <w:noProof/>
                <w:webHidden/>
              </w:rPr>
              <w:fldChar w:fldCharType="separate"/>
            </w:r>
            <w:r w:rsidR="005B5FD7">
              <w:rPr>
                <w:noProof/>
                <w:webHidden/>
              </w:rPr>
              <w:t>65</w:t>
            </w:r>
            <w:r w:rsidR="005B5FD7">
              <w:rPr>
                <w:noProof/>
                <w:webHidden/>
              </w:rPr>
              <w:fldChar w:fldCharType="end"/>
            </w:r>
          </w:hyperlink>
        </w:p>
        <w:p w14:paraId="1E448215" w14:textId="50EBB47D" w:rsidR="005B5FD7" w:rsidRDefault="00A97F97">
          <w:pPr>
            <w:pStyle w:val="TOC2"/>
            <w:tabs>
              <w:tab w:val="right" w:leader="dot" w:pos="9016"/>
            </w:tabs>
            <w:rPr>
              <w:rFonts w:eastAsiaTheme="minorEastAsia"/>
              <w:noProof/>
              <w:sz w:val="22"/>
              <w:szCs w:val="22"/>
              <w:lang w:eastAsia="en-AU"/>
            </w:rPr>
          </w:pPr>
          <w:hyperlink w:anchor="_Toc120614324" w:history="1">
            <w:r w:rsidR="005B5FD7" w:rsidRPr="000B6EF5">
              <w:rPr>
                <w:rStyle w:val="Hyperlink"/>
                <w:rFonts w:ascii="Arial" w:eastAsia="Times New Roman" w:hAnsi="Arial" w:cs="Arial"/>
                <w:b/>
                <w:bCs/>
                <w:noProof/>
                <w:lang w:eastAsia="en-AU"/>
              </w:rPr>
              <w:t>9.4 Perineal Clinic Services at Eastern Health</w:t>
            </w:r>
            <w:r w:rsidR="005B5FD7">
              <w:rPr>
                <w:noProof/>
                <w:webHidden/>
              </w:rPr>
              <w:tab/>
            </w:r>
            <w:r w:rsidR="005B5FD7">
              <w:rPr>
                <w:noProof/>
                <w:webHidden/>
              </w:rPr>
              <w:fldChar w:fldCharType="begin"/>
            </w:r>
            <w:r w:rsidR="005B5FD7">
              <w:rPr>
                <w:noProof/>
                <w:webHidden/>
              </w:rPr>
              <w:instrText xml:space="preserve"> PAGEREF _Toc120614324 \h </w:instrText>
            </w:r>
            <w:r w:rsidR="005B5FD7">
              <w:rPr>
                <w:noProof/>
                <w:webHidden/>
              </w:rPr>
            </w:r>
            <w:r w:rsidR="005B5FD7">
              <w:rPr>
                <w:noProof/>
                <w:webHidden/>
              </w:rPr>
              <w:fldChar w:fldCharType="separate"/>
            </w:r>
            <w:r w:rsidR="005B5FD7">
              <w:rPr>
                <w:noProof/>
                <w:webHidden/>
              </w:rPr>
              <w:t>66</w:t>
            </w:r>
            <w:r w:rsidR="005B5FD7">
              <w:rPr>
                <w:noProof/>
                <w:webHidden/>
              </w:rPr>
              <w:fldChar w:fldCharType="end"/>
            </w:r>
          </w:hyperlink>
        </w:p>
        <w:p w14:paraId="453F1A39" w14:textId="167B4BDD" w:rsidR="005B5FD7" w:rsidRDefault="00A97F97">
          <w:pPr>
            <w:pStyle w:val="TOC2"/>
            <w:tabs>
              <w:tab w:val="right" w:leader="dot" w:pos="9016"/>
            </w:tabs>
            <w:rPr>
              <w:rFonts w:eastAsiaTheme="minorEastAsia"/>
              <w:noProof/>
              <w:sz w:val="22"/>
              <w:szCs w:val="22"/>
              <w:lang w:eastAsia="en-AU"/>
            </w:rPr>
          </w:pPr>
          <w:hyperlink w:anchor="_Toc120614325" w:history="1">
            <w:r w:rsidR="005B5FD7" w:rsidRPr="000B6EF5">
              <w:rPr>
                <w:rStyle w:val="Hyperlink"/>
                <w:rFonts w:ascii="Arial" w:eastAsia="Times New Roman" w:hAnsi="Arial" w:cs="Arial"/>
                <w:b/>
                <w:bCs/>
                <w:noProof/>
                <w:lang w:eastAsia="en-AU"/>
              </w:rPr>
              <w:t>9.5 6-week Post Natal Check for Mother and Baby</w:t>
            </w:r>
            <w:r w:rsidR="005B5FD7">
              <w:rPr>
                <w:noProof/>
                <w:webHidden/>
              </w:rPr>
              <w:tab/>
            </w:r>
            <w:r w:rsidR="005B5FD7">
              <w:rPr>
                <w:noProof/>
                <w:webHidden/>
              </w:rPr>
              <w:fldChar w:fldCharType="begin"/>
            </w:r>
            <w:r w:rsidR="005B5FD7">
              <w:rPr>
                <w:noProof/>
                <w:webHidden/>
              </w:rPr>
              <w:instrText xml:space="preserve"> PAGEREF _Toc120614325 \h </w:instrText>
            </w:r>
            <w:r w:rsidR="005B5FD7">
              <w:rPr>
                <w:noProof/>
                <w:webHidden/>
              </w:rPr>
            </w:r>
            <w:r w:rsidR="005B5FD7">
              <w:rPr>
                <w:noProof/>
                <w:webHidden/>
              </w:rPr>
              <w:fldChar w:fldCharType="separate"/>
            </w:r>
            <w:r w:rsidR="005B5FD7">
              <w:rPr>
                <w:noProof/>
                <w:webHidden/>
              </w:rPr>
              <w:t>67</w:t>
            </w:r>
            <w:r w:rsidR="005B5FD7">
              <w:rPr>
                <w:noProof/>
                <w:webHidden/>
              </w:rPr>
              <w:fldChar w:fldCharType="end"/>
            </w:r>
          </w:hyperlink>
        </w:p>
        <w:p w14:paraId="20DDD832" w14:textId="6A698F8F" w:rsidR="005B5FD7" w:rsidRDefault="00A97F97">
          <w:pPr>
            <w:pStyle w:val="TOC2"/>
            <w:tabs>
              <w:tab w:val="right" w:leader="dot" w:pos="9016"/>
            </w:tabs>
            <w:rPr>
              <w:rFonts w:eastAsiaTheme="minorEastAsia"/>
              <w:noProof/>
              <w:sz w:val="22"/>
              <w:szCs w:val="22"/>
              <w:lang w:eastAsia="en-AU"/>
            </w:rPr>
          </w:pPr>
          <w:hyperlink w:anchor="_Toc120614326" w:history="1">
            <w:r w:rsidR="005B5FD7" w:rsidRPr="000B6EF5">
              <w:rPr>
                <w:rStyle w:val="Hyperlink"/>
                <w:rFonts w:ascii="Arial" w:eastAsia="Times New Roman" w:hAnsi="Arial" w:cs="Arial"/>
                <w:b/>
                <w:bCs/>
                <w:noProof/>
                <w:lang w:eastAsia="en-AU"/>
              </w:rPr>
              <w:t>10. Family violence</w:t>
            </w:r>
            <w:r w:rsidR="005B5FD7">
              <w:rPr>
                <w:noProof/>
                <w:webHidden/>
              </w:rPr>
              <w:tab/>
            </w:r>
            <w:r w:rsidR="005B5FD7">
              <w:rPr>
                <w:noProof/>
                <w:webHidden/>
              </w:rPr>
              <w:fldChar w:fldCharType="begin"/>
            </w:r>
            <w:r w:rsidR="005B5FD7">
              <w:rPr>
                <w:noProof/>
                <w:webHidden/>
              </w:rPr>
              <w:instrText xml:space="preserve"> PAGEREF _Toc120614326 \h </w:instrText>
            </w:r>
            <w:r w:rsidR="005B5FD7">
              <w:rPr>
                <w:noProof/>
                <w:webHidden/>
              </w:rPr>
            </w:r>
            <w:r w:rsidR="005B5FD7">
              <w:rPr>
                <w:noProof/>
                <w:webHidden/>
              </w:rPr>
              <w:fldChar w:fldCharType="separate"/>
            </w:r>
            <w:r w:rsidR="005B5FD7">
              <w:rPr>
                <w:noProof/>
                <w:webHidden/>
              </w:rPr>
              <w:t>71</w:t>
            </w:r>
            <w:r w:rsidR="005B5FD7">
              <w:rPr>
                <w:noProof/>
                <w:webHidden/>
              </w:rPr>
              <w:fldChar w:fldCharType="end"/>
            </w:r>
          </w:hyperlink>
        </w:p>
        <w:p w14:paraId="4C0F3680" w14:textId="4EE55802" w:rsidR="00074F2F" w:rsidRPr="005B5FD7" w:rsidRDefault="00074F2F" w:rsidP="00CF0FF7">
          <w:pPr>
            <w:ind w:left="284"/>
            <w:rPr>
              <w:rFonts w:ascii="Arial" w:hAnsi="Arial" w:cs="Arial"/>
            </w:rPr>
          </w:pPr>
          <w:r w:rsidRPr="005B5FD7">
            <w:rPr>
              <w:rFonts w:ascii="Arial" w:hAnsi="Arial" w:cs="Arial"/>
              <w:b/>
              <w:bCs/>
              <w:noProof/>
            </w:rPr>
            <w:fldChar w:fldCharType="end"/>
          </w:r>
        </w:p>
      </w:sdtContent>
    </w:sdt>
    <w:p w14:paraId="2CD23785" w14:textId="1428D80A" w:rsidR="00E67277" w:rsidRDefault="00E67277" w:rsidP="001242AB">
      <w:pPr>
        <w:spacing w:line="360" w:lineRule="auto"/>
        <w:rPr>
          <w:rFonts w:ascii="Arial" w:hAnsi="Arial" w:cs="Arial"/>
          <w:b/>
          <w:bCs/>
          <w:color w:val="002F86" w:themeColor="text1"/>
          <w:sz w:val="20"/>
          <w:szCs w:val="20"/>
        </w:rPr>
      </w:pPr>
    </w:p>
    <w:p w14:paraId="7DF4A26A" w14:textId="47D13D2F" w:rsidR="00CF0FF7" w:rsidRDefault="00CF0FF7" w:rsidP="001242AB">
      <w:pPr>
        <w:spacing w:line="360" w:lineRule="auto"/>
        <w:rPr>
          <w:rFonts w:ascii="Arial" w:hAnsi="Arial" w:cs="Arial"/>
          <w:b/>
          <w:bCs/>
          <w:color w:val="002F86" w:themeColor="text1"/>
          <w:sz w:val="20"/>
          <w:szCs w:val="20"/>
        </w:rPr>
      </w:pPr>
    </w:p>
    <w:p w14:paraId="41251ACD" w14:textId="4E7E8434" w:rsidR="00CF0FF7" w:rsidRDefault="00CF0FF7" w:rsidP="001242AB">
      <w:pPr>
        <w:spacing w:line="360" w:lineRule="auto"/>
        <w:rPr>
          <w:rFonts w:ascii="Arial" w:hAnsi="Arial" w:cs="Arial"/>
          <w:b/>
          <w:bCs/>
          <w:color w:val="002F86" w:themeColor="text1"/>
          <w:sz w:val="20"/>
          <w:szCs w:val="20"/>
        </w:rPr>
      </w:pPr>
    </w:p>
    <w:p w14:paraId="66A2A28B" w14:textId="207DCABE" w:rsidR="00CF0FF7" w:rsidRDefault="00CF0FF7" w:rsidP="001242AB">
      <w:pPr>
        <w:spacing w:line="360" w:lineRule="auto"/>
        <w:rPr>
          <w:rFonts w:ascii="Arial" w:hAnsi="Arial" w:cs="Arial"/>
          <w:b/>
          <w:bCs/>
          <w:color w:val="002F86" w:themeColor="text1"/>
          <w:sz w:val="20"/>
          <w:szCs w:val="20"/>
        </w:rPr>
      </w:pPr>
    </w:p>
    <w:p w14:paraId="14D7A0A3" w14:textId="262B92A6" w:rsidR="00CF0FF7" w:rsidRDefault="00CF0FF7" w:rsidP="001242AB">
      <w:pPr>
        <w:spacing w:line="360" w:lineRule="auto"/>
        <w:rPr>
          <w:rFonts w:ascii="Arial" w:hAnsi="Arial" w:cs="Arial"/>
          <w:b/>
          <w:bCs/>
          <w:sz w:val="20"/>
          <w:szCs w:val="20"/>
        </w:rPr>
      </w:pPr>
    </w:p>
    <w:p w14:paraId="62FAEE2E" w14:textId="3CD623F0" w:rsidR="009738A9" w:rsidRPr="00BA1B7B" w:rsidRDefault="009738A9" w:rsidP="001242AB">
      <w:pPr>
        <w:spacing w:line="360" w:lineRule="auto"/>
        <w:rPr>
          <w:rFonts w:ascii="Arial" w:hAnsi="Arial" w:cs="Arial"/>
          <w:b/>
          <w:bCs/>
          <w:sz w:val="20"/>
          <w:szCs w:val="20"/>
        </w:rPr>
      </w:pPr>
    </w:p>
    <w:p w14:paraId="5846F117" w14:textId="00794A15" w:rsidR="001242AB" w:rsidRPr="00BA1B7B" w:rsidRDefault="001242AB" w:rsidP="004A22FD">
      <w:pPr>
        <w:pStyle w:val="ListParagraph"/>
        <w:numPr>
          <w:ilvl w:val="0"/>
          <w:numId w:val="65"/>
        </w:numPr>
        <w:shd w:val="clear" w:color="auto" w:fill="FFFFFF"/>
        <w:spacing w:before="100" w:beforeAutospacing="1" w:after="100" w:afterAutospacing="1"/>
        <w:outlineLvl w:val="1"/>
        <w:rPr>
          <w:rFonts w:ascii="Arial" w:eastAsia="Times New Roman" w:hAnsi="Arial" w:cs="Arial"/>
          <w:b/>
          <w:bCs/>
          <w:sz w:val="20"/>
          <w:szCs w:val="20"/>
          <w:lang w:eastAsia="en-AU"/>
        </w:rPr>
      </w:pPr>
      <w:bookmarkStart w:id="4" w:name="_Toc120614271"/>
      <w:r w:rsidRPr="00BA1B7B">
        <w:rPr>
          <w:rFonts w:ascii="Arial" w:eastAsia="Times New Roman" w:hAnsi="Arial" w:cs="Arial"/>
          <w:b/>
          <w:bCs/>
          <w:sz w:val="20"/>
          <w:szCs w:val="20"/>
          <w:lang w:eastAsia="en-AU"/>
        </w:rPr>
        <w:t>Eastern Health Maternity Hospital Locations</w:t>
      </w:r>
      <w:bookmarkEnd w:id="4"/>
    </w:p>
    <w:p w14:paraId="349BE02A" w14:textId="77777777" w:rsidR="001242AB" w:rsidRPr="00BA1B7B" w:rsidRDefault="001242AB" w:rsidP="001242AB">
      <w:pPr>
        <w:spacing w:line="360" w:lineRule="auto"/>
        <w:rPr>
          <w:rFonts w:ascii="Arial" w:hAnsi="Arial" w:cs="Arial"/>
          <w:sz w:val="20"/>
          <w:szCs w:val="20"/>
        </w:rPr>
      </w:pPr>
      <w:r w:rsidRPr="00BA1B7B">
        <w:rPr>
          <w:rFonts w:ascii="Arial" w:hAnsi="Arial" w:cs="Arial"/>
          <w:sz w:val="20"/>
          <w:szCs w:val="20"/>
        </w:rPr>
        <w:t>Eastern Health currently offers Birthing Services and Outpatient Maternity care at two of its sites;</w:t>
      </w:r>
    </w:p>
    <w:p w14:paraId="5AF378CF" w14:textId="77777777" w:rsidR="001242AB" w:rsidRPr="00BA1B7B" w:rsidRDefault="001242AB" w:rsidP="001242AB">
      <w:pPr>
        <w:spacing w:line="360" w:lineRule="auto"/>
        <w:rPr>
          <w:rFonts w:ascii="Arial" w:hAnsi="Arial" w:cs="Arial"/>
          <w:sz w:val="20"/>
          <w:szCs w:val="20"/>
        </w:rPr>
      </w:pPr>
    </w:p>
    <w:p w14:paraId="496E76F7" w14:textId="77777777" w:rsidR="001242AB" w:rsidRPr="00BA1B7B" w:rsidRDefault="001242AB" w:rsidP="001242AB">
      <w:pPr>
        <w:spacing w:line="360" w:lineRule="auto"/>
        <w:rPr>
          <w:rFonts w:ascii="Arial" w:hAnsi="Arial" w:cs="Arial"/>
          <w:b/>
          <w:bCs/>
          <w:sz w:val="20"/>
          <w:szCs w:val="20"/>
        </w:rPr>
      </w:pPr>
      <w:r w:rsidRPr="00BA1B7B">
        <w:rPr>
          <w:rFonts w:ascii="Arial" w:hAnsi="Arial" w:cs="Arial"/>
          <w:b/>
          <w:bCs/>
          <w:sz w:val="20"/>
          <w:szCs w:val="20"/>
        </w:rPr>
        <w:t>The Angliss Hospital</w:t>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t>Box Hill Hospital</w:t>
      </w:r>
    </w:p>
    <w:p w14:paraId="2DD6AC6F" w14:textId="77777777" w:rsidR="001242AB" w:rsidRDefault="001242AB" w:rsidP="004E7BEF">
      <w:pPr>
        <w:pStyle w:val="SubheadingLevel2EASH"/>
        <w:spacing w:line="276" w:lineRule="auto"/>
        <w:ind w:left="0" w:right="95"/>
      </w:pPr>
      <w:r>
        <w:rPr>
          <w:noProof/>
          <w:lang w:val="en-AU" w:eastAsia="en-AU"/>
        </w:rPr>
        <w:drawing>
          <wp:inline distT="0" distB="0" distL="0" distR="0" wp14:anchorId="64398B07" wp14:editId="0E978801">
            <wp:extent cx="2607945" cy="183250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221" cy="1839027"/>
                    </a:xfrm>
                    <a:prstGeom prst="rect">
                      <a:avLst/>
                    </a:prstGeom>
                    <a:noFill/>
                  </pic:spPr>
                </pic:pic>
              </a:graphicData>
            </a:graphic>
          </wp:inline>
        </w:drawing>
      </w:r>
      <w:r>
        <w:rPr>
          <w:noProof/>
          <w:lang w:val="en-AU" w:eastAsia="en-AU"/>
        </w:rPr>
        <w:drawing>
          <wp:inline distT="0" distB="0" distL="0" distR="0" wp14:anchorId="66493686" wp14:editId="21BD9A4F">
            <wp:extent cx="2651760" cy="1853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1853565"/>
                    </a:xfrm>
                    <a:prstGeom prst="rect">
                      <a:avLst/>
                    </a:prstGeom>
                    <a:noFill/>
                  </pic:spPr>
                </pic:pic>
              </a:graphicData>
            </a:graphic>
          </wp:inline>
        </w:drawing>
      </w:r>
    </w:p>
    <w:p w14:paraId="1FA1FBD6" w14:textId="77777777" w:rsidR="001242AB" w:rsidRDefault="001242AB" w:rsidP="004E7BEF">
      <w:pPr>
        <w:pStyle w:val="SubheadingLevel2EASH"/>
        <w:spacing w:line="276" w:lineRule="auto"/>
        <w:ind w:left="0" w:right="95"/>
      </w:pPr>
    </w:p>
    <w:p w14:paraId="24470E98" w14:textId="77777777" w:rsidR="001242AB" w:rsidRPr="001242AB" w:rsidRDefault="001242AB" w:rsidP="001242AB">
      <w:pPr>
        <w:spacing w:line="360" w:lineRule="auto"/>
        <w:rPr>
          <w:rFonts w:ascii="Arial" w:hAnsi="Arial" w:cs="Arial"/>
          <w:sz w:val="20"/>
          <w:szCs w:val="20"/>
        </w:rPr>
      </w:pPr>
      <w:r w:rsidRPr="001242AB">
        <w:rPr>
          <w:rFonts w:ascii="Arial" w:hAnsi="Arial" w:cs="Arial"/>
          <w:sz w:val="20"/>
          <w:szCs w:val="20"/>
        </w:rPr>
        <w:t>Albert Street, Upper Ferntree Gully, VIC 3156</w:t>
      </w:r>
      <w:r w:rsidRPr="001242AB">
        <w:rPr>
          <w:rFonts w:ascii="Arial" w:hAnsi="Arial" w:cs="Arial"/>
          <w:sz w:val="20"/>
          <w:szCs w:val="20"/>
        </w:rPr>
        <w:tab/>
        <w:t>Building A, 8 Arnold St, Box Hill, VIC 3128</w:t>
      </w:r>
    </w:p>
    <w:p w14:paraId="5507AC7E" w14:textId="77777777" w:rsidR="001242AB" w:rsidRPr="001242AB" w:rsidRDefault="001242AB" w:rsidP="001242AB">
      <w:pPr>
        <w:spacing w:line="360" w:lineRule="auto"/>
        <w:rPr>
          <w:rFonts w:ascii="Arial" w:hAnsi="Arial" w:cs="Arial"/>
          <w:sz w:val="20"/>
          <w:szCs w:val="20"/>
        </w:rPr>
      </w:pPr>
      <w:bookmarkStart w:id="5" w:name="_Hlk46230225"/>
      <w:r w:rsidRPr="001242AB">
        <w:rPr>
          <w:rFonts w:ascii="Arial" w:hAnsi="Arial" w:cs="Arial"/>
          <w:sz w:val="20"/>
          <w:szCs w:val="20"/>
        </w:rPr>
        <w:t>Ph: 1300 342 255</w:t>
      </w:r>
      <w:bookmarkEnd w:id="5"/>
      <w:r w:rsidRPr="001242AB">
        <w:rPr>
          <w:rFonts w:ascii="Arial" w:hAnsi="Arial" w:cs="Arial"/>
          <w:sz w:val="20"/>
          <w:szCs w:val="20"/>
        </w:rPr>
        <w:t xml:space="preserve"> or 1300 EH CALL</w:t>
      </w:r>
      <w:r w:rsidRPr="001242AB">
        <w:rPr>
          <w:rFonts w:ascii="Arial" w:hAnsi="Arial" w:cs="Arial"/>
          <w:sz w:val="20"/>
          <w:szCs w:val="20"/>
        </w:rPr>
        <w:tab/>
      </w:r>
      <w:r w:rsidRPr="001242AB">
        <w:rPr>
          <w:rFonts w:ascii="Arial" w:hAnsi="Arial" w:cs="Arial"/>
          <w:sz w:val="20"/>
          <w:szCs w:val="20"/>
        </w:rPr>
        <w:tab/>
      </w:r>
      <w:r w:rsidRPr="001242AB">
        <w:rPr>
          <w:rFonts w:ascii="Arial" w:hAnsi="Arial" w:cs="Arial"/>
          <w:sz w:val="20"/>
          <w:szCs w:val="20"/>
        </w:rPr>
        <w:tab/>
        <w:t>Ph: 1300 342 255 or 1300 EH CALL</w:t>
      </w:r>
    </w:p>
    <w:p w14:paraId="22713E5C" w14:textId="77777777" w:rsidR="001242AB" w:rsidRPr="001242AB" w:rsidRDefault="001242AB" w:rsidP="001242AB">
      <w:pPr>
        <w:spacing w:line="360" w:lineRule="auto"/>
        <w:rPr>
          <w:rFonts w:ascii="Arial" w:hAnsi="Arial" w:cs="Arial"/>
          <w:sz w:val="20"/>
          <w:szCs w:val="20"/>
        </w:rPr>
      </w:pPr>
    </w:p>
    <w:p w14:paraId="6D720811" w14:textId="77777777" w:rsidR="001242AB" w:rsidRPr="001242AB" w:rsidRDefault="001242AB" w:rsidP="001242AB">
      <w:pPr>
        <w:spacing w:line="360" w:lineRule="auto"/>
        <w:rPr>
          <w:rFonts w:ascii="Arial" w:hAnsi="Arial" w:cs="Arial"/>
          <w:sz w:val="20"/>
          <w:szCs w:val="20"/>
        </w:rPr>
      </w:pPr>
      <w:r w:rsidRPr="001242AB">
        <w:rPr>
          <w:rFonts w:ascii="Arial" w:hAnsi="Arial" w:cs="Arial"/>
          <w:sz w:val="20"/>
          <w:szCs w:val="20"/>
        </w:rPr>
        <w:t>Maternity outpatient services (antenatal and Post-natal) are also available at</w:t>
      </w:r>
    </w:p>
    <w:p w14:paraId="4AAC5A4D" w14:textId="77777777" w:rsidR="001242AB" w:rsidRPr="001242AB" w:rsidRDefault="001242AB" w:rsidP="001242AB">
      <w:pPr>
        <w:spacing w:line="360" w:lineRule="auto"/>
        <w:rPr>
          <w:rFonts w:ascii="Arial" w:hAnsi="Arial" w:cs="Arial"/>
          <w:b/>
          <w:bCs/>
          <w:sz w:val="20"/>
          <w:szCs w:val="20"/>
        </w:rPr>
      </w:pPr>
      <w:r w:rsidRPr="001242AB">
        <w:rPr>
          <w:rFonts w:ascii="Arial" w:hAnsi="Arial" w:cs="Arial"/>
          <w:b/>
          <w:bCs/>
          <w:sz w:val="20"/>
          <w:szCs w:val="20"/>
        </w:rPr>
        <w:t>Yarra Ranges Health</w:t>
      </w:r>
    </w:p>
    <w:p w14:paraId="51112BFD" w14:textId="77777777" w:rsidR="001242AB" w:rsidRDefault="001242AB" w:rsidP="004E7BEF">
      <w:pPr>
        <w:pStyle w:val="SubheadingLevel2EASH"/>
        <w:spacing w:line="276" w:lineRule="auto"/>
        <w:ind w:left="0" w:right="95"/>
      </w:pPr>
      <w:r>
        <w:rPr>
          <w:noProof/>
          <w:lang w:val="en-AU" w:eastAsia="en-AU"/>
        </w:rPr>
        <w:drawing>
          <wp:inline distT="0" distB="0" distL="0" distR="0" wp14:anchorId="01D58432" wp14:editId="773D2E2E">
            <wp:extent cx="2468880" cy="17437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743710"/>
                    </a:xfrm>
                    <a:prstGeom prst="rect">
                      <a:avLst/>
                    </a:prstGeom>
                    <a:noFill/>
                  </pic:spPr>
                </pic:pic>
              </a:graphicData>
            </a:graphic>
          </wp:inline>
        </w:drawing>
      </w:r>
    </w:p>
    <w:p w14:paraId="1AD177F5" w14:textId="77777777" w:rsidR="001242AB" w:rsidRPr="00BA1B7B" w:rsidRDefault="001242AB" w:rsidP="001242AB">
      <w:pPr>
        <w:spacing w:line="360" w:lineRule="auto"/>
        <w:rPr>
          <w:rFonts w:ascii="Arial" w:hAnsi="Arial" w:cs="Arial"/>
          <w:sz w:val="20"/>
          <w:szCs w:val="20"/>
        </w:rPr>
      </w:pPr>
      <w:r w:rsidRPr="00BA1B7B">
        <w:rPr>
          <w:rFonts w:ascii="Arial" w:hAnsi="Arial" w:cs="Arial"/>
          <w:sz w:val="20"/>
          <w:szCs w:val="20"/>
        </w:rPr>
        <w:t>24 Market Street, Lilydale, VIC 3140</w:t>
      </w:r>
    </w:p>
    <w:p w14:paraId="70F3ACD2" w14:textId="77777777" w:rsidR="001242AB" w:rsidRPr="00BA1B7B" w:rsidRDefault="001242AB" w:rsidP="001242AB">
      <w:pPr>
        <w:spacing w:line="360" w:lineRule="auto"/>
        <w:rPr>
          <w:rFonts w:ascii="Arial" w:hAnsi="Arial" w:cs="Arial"/>
          <w:sz w:val="20"/>
          <w:szCs w:val="20"/>
        </w:rPr>
      </w:pPr>
      <w:r w:rsidRPr="00BA1B7B">
        <w:rPr>
          <w:rFonts w:ascii="Arial" w:hAnsi="Arial" w:cs="Arial"/>
          <w:sz w:val="20"/>
          <w:szCs w:val="20"/>
        </w:rPr>
        <w:t>Ph: 1300 342 255 or 1300 EH CALL</w:t>
      </w:r>
    </w:p>
    <w:p w14:paraId="4F39E4AE" w14:textId="77777777" w:rsidR="001242AB" w:rsidRPr="00BA1B7B" w:rsidRDefault="001242AB" w:rsidP="004E7BEF">
      <w:pPr>
        <w:pStyle w:val="SubheadingLevel2EASH"/>
        <w:spacing w:line="276" w:lineRule="auto"/>
        <w:ind w:left="0" w:right="95"/>
        <w:rPr>
          <w:color w:val="auto"/>
        </w:rPr>
      </w:pPr>
    </w:p>
    <w:p w14:paraId="7B06D2BB" w14:textId="77777777" w:rsidR="001242AB" w:rsidRPr="00BA1B7B" w:rsidRDefault="001242AB" w:rsidP="001242AB">
      <w:pPr>
        <w:spacing w:line="360" w:lineRule="auto"/>
        <w:jc w:val="center"/>
        <w:rPr>
          <w:rFonts w:ascii="Arial" w:hAnsi="Arial" w:cs="Arial"/>
          <w:i/>
          <w:iCs/>
          <w:sz w:val="20"/>
          <w:szCs w:val="20"/>
          <w:lang w:val="en-GB"/>
        </w:rPr>
      </w:pPr>
    </w:p>
    <w:p w14:paraId="4FCF42DF" w14:textId="77777777" w:rsidR="001242AB" w:rsidRPr="00BA1B7B" w:rsidRDefault="001242AB" w:rsidP="001242AB">
      <w:pPr>
        <w:spacing w:line="360" w:lineRule="auto"/>
        <w:jc w:val="center"/>
        <w:rPr>
          <w:rFonts w:ascii="Arial" w:hAnsi="Arial" w:cs="Arial"/>
          <w:i/>
          <w:iCs/>
          <w:sz w:val="20"/>
          <w:szCs w:val="20"/>
        </w:rPr>
      </w:pPr>
      <w:r w:rsidRPr="00BA1B7B">
        <w:rPr>
          <w:rFonts w:ascii="Arial" w:hAnsi="Arial" w:cs="Arial"/>
          <w:i/>
          <w:iCs/>
          <w:sz w:val="20"/>
          <w:szCs w:val="20"/>
          <w:lang w:val="en-GB"/>
        </w:rPr>
        <w:t>Eastern Health will decide which hospital your Patient attends based on her clinical needs, the hospital’s capacity to accommodate her booking and her residential address.</w:t>
      </w:r>
    </w:p>
    <w:p w14:paraId="5D45576D" w14:textId="5DE500A9" w:rsidR="001242AB" w:rsidRPr="00BA1B7B" w:rsidRDefault="001242AB" w:rsidP="004E7BEF">
      <w:pPr>
        <w:pStyle w:val="SubheadingLevel2EASH"/>
        <w:spacing w:line="276" w:lineRule="auto"/>
        <w:ind w:left="0" w:right="95"/>
        <w:rPr>
          <w:color w:val="auto"/>
        </w:rPr>
      </w:pPr>
    </w:p>
    <w:p w14:paraId="35573567" w14:textId="77777777" w:rsidR="009738A9" w:rsidRPr="00BA1B7B" w:rsidRDefault="009738A9" w:rsidP="004E7BEF">
      <w:pPr>
        <w:pStyle w:val="SubheadingLevel2EASH"/>
        <w:spacing w:line="276" w:lineRule="auto"/>
        <w:ind w:left="0" w:right="95"/>
        <w:rPr>
          <w:color w:val="auto"/>
        </w:rPr>
      </w:pPr>
    </w:p>
    <w:p w14:paraId="1C7F89AA" w14:textId="5CF49990" w:rsidR="001242AB" w:rsidRPr="00BA1B7B" w:rsidRDefault="001242AB" w:rsidP="004A22FD">
      <w:pPr>
        <w:pStyle w:val="ListParagraph"/>
        <w:numPr>
          <w:ilvl w:val="1"/>
          <w:numId w:val="65"/>
        </w:numPr>
        <w:shd w:val="clear" w:color="auto" w:fill="FFFFFF"/>
        <w:spacing w:before="100" w:beforeAutospacing="1" w:after="100" w:afterAutospacing="1"/>
        <w:outlineLvl w:val="1"/>
        <w:rPr>
          <w:rFonts w:ascii="Arial" w:eastAsia="Times New Roman" w:hAnsi="Arial" w:cs="Arial"/>
          <w:b/>
          <w:bCs/>
          <w:sz w:val="20"/>
          <w:szCs w:val="20"/>
          <w:lang w:eastAsia="en-AU"/>
        </w:rPr>
      </w:pPr>
      <w:bookmarkStart w:id="6" w:name="_Toc120614272"/>
      <w:r w:rsidRPr="00BA1B7B">
        <w:rPr>
          <w:rFonts w:ascii="Arial" w:eastAsia="Times New Roman" w:hAnsi="Arial" w:cs="Arial"/>
          <w:b/>
          <w:bCs/>
          <w:sz w:val="20"/>
          <w:szCs w:val="20"/>
          <w:lang w:eastAsia="en-AU"/>
        </w:rPr>
        <w:t>Useful Contact Details:</w:t>
      </w:r>
      <w:bookmarkEnd w:id="6"/>
      <w:r w:rsidRPr="00BA1B7B">
        <w:rPr>
          <w:rFonts w:ascii="Arial" w:eastAsia="Times New Roman" w:hAnsi="Arial" w:cs="Arial"/>
          <w:b/>
          <w:bCs/>
          <w:sz w:val="20"/>
          <w:szCs w:val="20"/>
          <w:lang w:eastAsia="en-AU"/>
        </w:rPr>
        <w:t xml:space="preserve"> </w:t>
      </w:r>
    </w:p>
    <w:p w14:paraId="63D0F647" w14:textId="77777777" w:rsidR="001242AB" w:rsidRPr="00BA1B7B" w:rsidRDefault="001242AB" w:rsidP="001242AB">
      <w:pPr>
        <w:rPr>
          <w:rFonts w:ascii="Arial" w:hAnsi="Arial" w:cs="Arial"/>
          <w:b/>
          <w:bCs/>
          <w:sz w:val="20"/>
          <w:szCs w:val="20"/>
        </w:rPr>
      </w:pPr>
      <w:r w:rsidRPr="00BA1B7B">
        <w:rPr>
          <w:rFonts w:ascii="Arial" w:hAnsi="Arial" w:cs="Arial"/>
          <w:b/>
          <w:bCs/>
          <w:sz w:val="20"/>
          <w:szCs w:val="20"/>
        </w:rPr>
        <w:t>Maternity Bookings</w:t>
      </w:r>
    </w:p>
    <w:p w14:paraId="6284F27C" w14:textId="77777777" w:rsidR="001242AB" w:rsidRPr="00BA1B7B" w:rsidRDefault="001242AB" w:rsidP="001242AB">
      <w:pPr>
        <w:spacing w:line="276" w:lineRule="auto"/>
        <w:rPr>
          <w:rFonts w:ascii="Arial" w:hAnsi="Arial" w:cs="Arial"/>
          <w:sz w:val="20"/>
          <w:szCs w:val="20"/>
        </w:rPr>
      </w:pPr>
      <w:r w:rsidRPr="00BA1B7B">
        <w:rPr>
          <w:rFonts w:ascii="Arial" w:hAnsi="Arial" w:cs="Arial"/>
          <w:b/>
          <w:bCs/>
          <w:sz w:val="20"/>
          <w:szCs w:val="20"/>
        </w:rPr>
        <w:t xml:space="preserve">Phone: </w:t>
      </w:r>
      <w:r w:rsidRPr="00BA1B7B">
        <w:rPr>
          <w:rFonts w:ascii="Arial" w:hAnsi="Arial" w:cs="Arial"/>
          <w:bCs/>
          <w:sz w:val="20"/>
          <w:szCs w:val="20"/>
        </w:rPr>
        <w:t>1300 521 319</w:t>
      </w:r>
      <w:r w:rsidRPr="00BA1B7B">
        <w:rPr>
          <w:rFonts w:ascii="Arial" w:hAnsi="Arial" w:cs="Arial"/>
          <w:b/>
          <w:bCs/>
          <w:sz w:val="20"/>
          <w:szCs w:val="20"/>
        </w:rPr>
        <w:t xml:space="preserve"> Fax: </w:t>
      </w:r>
      <w:r w:rsidRPr="00BA1B7B">
        <w:rPr>
          <w:rFonts w:ascii="Arial" w:hAnsi="Arial" w:cs="Arial"/>
          <w:bCs/>
          <w:sz w:val="20"/>
          <w:szCs w:val="20"/>
        </w:rPr>
        <w:t>03 98954817</w:t>
      </w:r>
      <w:r w:rsidRPr="00BA1B7B">
        <w:rPr>
          <w:rFonts w:ascii="Arial" w:hAnsi="Arial" w:cs="Arial"/>
          <w:b/>
          <w:bCs/>
          <w:sz w:val="20"/>
          <w:szCs w:val="20"/>
        </w:rPr>
        <w:t xml:space="preserve"> Email:</w:t>
      </w:r>
      <w:r w:rsidRPr="00BA1B7B">
        <w:rPr>
          <w:rFonts w:ascii="Arial" w:hAnsi="Arial" w:cs="Arial"/>
          <w:sz w:val="20"/>
          <w:szCs w:val="20"/>
        </w:rPr>
        <w:t xml:space="preserve"> </w:t>
      </w:r>
      <w:hyperlink r:id="rId14" w:history="1">
        <w:r w:rsidRPr="00BA1B7B">
          <w:rPr>
            <w:rStyle w:val="Hyperlink"/>
            <w:rFonts w:ascii="Arial" w:hAnsi="Arial" w:cs="Arial"/>
            <w:color w:val="auto"/>
            <w:sz w:val="20"/>
            <w:szCs w:val="20"/>
          </w:rPr>
          <w:t>maternity.bookings@easternhealth.org.au</w:t>
        </w:r>
      </w:hyperlink>
    </w:p>
    <w:p w14:paraId="21576015" w14:textId="77777777" w:rsidR="001242AB" w:rsidRPr="00BA1B7B" w:rsidRDefault="001242AB" w:rsidP="001242AB">
      <w:pPr>
        <w:rPr>
          <w:rFonts w:ascii="Arial" w:hAnsi="Arial" w:cs="Arial"/>
          <w:b/>
          <w:bCs/>
          <w:sz w:val="20"/>
          <w:szCs w:val="20"/>
        </w:rPr>
      </w:pPr>
    </w:p>
    <w:p w14:paraId="300DC1B9" w14:textId="77777777" w:rsidR="001242AB" w:rsidRPr="00BA1B7B" w:rsidRDefault="001242AB" w:rsidP="001242AB">
      <w:pPr>
        <w:rPr>
          <w:rFonts w:ascii="Arial" w:hAnsi="Arial" w:cs="Arial"/>
          <w:b/>
          <w:bCs/>
          <w:sz w:val="20"/>
          <w:szCs w:val="20"/>
        </w:rPr>
      </w:pPr>
      <w:r w:rsidRPr="00BA1B7B">
        <w:rPr>
          <w:rFonts w:ascii="Arial" w:hAnsi="Arial" w:cs="Arial"/>
          <w:b/>
          <w:bCs/>
          <w:sz w:val="20"/>
          <w:szCs w:val="20"/>
        </w:rPr>
        <w:t>Angliss Hospital Birthing Suite</w:t>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t>Box Hill Hospital Birthing Suite</w:t>
      </w:r>
    </w:p>
    <w:p w14:paraId="1ACDA39C" w14:textId="77777777" w:rsidR="001242AB" w:rsidRPr="00BA1B7B" w:rsidRDefault="001242AB" w:rsidP="001242AB">
      <w:pPr>
        <w:rPr>
          <w:rFonts w:ascii="Arial" w:hAnsi="Arial" w:cs="Arial"/>
          <w:sz w:val="20"/>
          <w:szCs w:val="20"/>
        </w:rPr>
      </w:pPr>
      <w:r w:rsidRPr="00BA1B7B">
        <w:rPr>
          <w:rFonts w:ascii="Arial" w:hAnsi="Arial" w:cs="Arial"/>
          <w:sz w:val="20"/>
          <w:szCs w:val="20"/>
        </w:rPr>
        <w:t>Phone: 9764 6310</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Phone: 9975 6364</w:t>
      </w:r>
    </w:p>
    <w:p w14:paraId="5E0A637F" w14:textId="77777777" w:rsidR="001242AB" w:rsidRPr="00BA1B7B" w:rsidRDefault="001242AB" w:rsidP="001242AB">
      <w:pPr>
        <w:rPr>
          <w:rFonts w:ascii="Arial" w:hAnsi="Arial" w:cs="Arial"/>
          <w:sz w:val="20"/>
          <w:szCs w:val="20"/>
        </w:rPr>
      </w:pPr>
    </w:p>
    <w:p w14:paraId="4F97F872" w14:textId="77777777" w:rsidR="001242AB" w:rsidRPr="00BA1B7B" w:rsidRDefault="001242AB" w:rsidP="001242AB">
      <w:pPr>
        <w:rPr>
          <w:rFonts w:ascii="Arial" w:hAnsi="Arial" w:cs="Arial"/>
          <w:b/>
          <w:bCs/>
          <w:sz w:val="20"/>
          <w:szCs w:val="20"/>
        </w:rPr>
      </w:pPr>
      <w:r w:rsidRPr="00BA1B7B">
        <w:rPr>
          <w:rFonts w:ascii="Arial" w:hAnsi="Arial" w:cs="Arial"/>
          <w:b/>
          <w:bCs/>
          <w:sz w:val="20"/>
          <w:szCs w:val="20"/>
        </w:rPr>
        <w:t>Angliss Antenatal Clinic</w:t>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t>Box Hill Hospital Antenatal Clinic</w:t>
      </w:r>
    </w:p>
    <w:p w14:paraId="14230A2E" w14:textId="77777777" w:rsidR="001242AB" w:rsidRPr="00BA1B7B" w:rsidRDefault="001242AB" w:rsidP="001242AB">
      <w:pPr>
        <w:rPr>
          <w:rFonts w:ascii="Arial" w:hAnsi="Arial" w:cs="Arial"/>
          <w:sz w:val="20"/>
          <w:szCs w:val="20"/>
        </w:rPr>
      </w:pPr>
      <w:r w:rsidRPr="00BA1B7B">
        <w:rPr>
          <w:rFonts w:ascii="Arial" w:hAnsi="Arial" w:cs="Arial"/>
          <w:sz w:val="20"/>
          <w:szCs w:val="20"/>
        </w:rPr>
        <w:t>Phone: 9764 6309</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Phone: 9975 6333</w:t>
      </w:r>
    </w:p>
    <w:p w14:paraId="1F4A353E" w14:textId="4097CC3C" w:rsidR="001242AB" w:rsidRPr="00BA1B7B" w:rsidRDefault="001242AB" w:rsidP="001242AB">
      <w:pPr>
        <w:rPr>
          <w:rFonts w:ascii="Arial" w:hAnsi="Arial" w:cs="Arial"/>
          <w:sz w:val="20"/>
          <w:szCs w:val="20"/>
        </w:rPr>
      </w:pPr>
      <w:r w:rsidRPr="00BA1B7B">
        <w:rPr>
          <w:rFonts w:ascii="Arial" w:hAnsi="Arial" w:cs="Arial"/>
          <w:sz w:val="20"/>
          <w:szCs w:val="20"/>
        </w:rPr>
        <w:t>Fax: 9764 6193</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00A54525" w:rsidRPr="00BA1B7B">
        <w:rPr>
          <w:rFonts w:ascii="Arial" w:hAnsi="Arial" w:cs="Arial"/>
          <w:sz w:val="20"/>
          <w:szCs w:val="20"/>
        </w:rPr>
        <w:t xml:space="preserve">             </w:t>
      </w:r>
      <w:r w:rsidRPr="00BA1B7B">
        <w:rPr>
          <w:rFonts w:ascii="Arial" w:hAnsi="Arial" w:cs="Arial"/>
          <w:sz w:val="20"/>
          <w:szCs w:val="20"/>
        </w:rPr>
        <w:t>Fax: 9975 6663</w:t>
      </w:r>
    </w:p>
    <w:p w14:paraId="7CE95DA4" w14:textId="77777777" w:rsidR="001242AB" w:rsidRPr="00BA1B7B" w:rsidRDefault="001242AB" w:rsidP="001242AB">
      <w:pPr>
        <w:rPr>
          <w:rFonts w:ascii="Arial" w:hAnsi="Arial" w:cs="Arial"/>
          <w:b/>
          <w:bCs/>
          <w:sz w:val="20"/>
          <w:szCs w:val="20"/>
        </w:rPr>
      </w:pPr>
    </w:p>
    <w:p w14:paraId="1FBA5FC8" w14:textId="77777777" w:rsidR="001242AB" w:rsidRPr="00BA1B7B" w:rsidRDefault="001242AB" w:rsidP="001242AB">
      <w:pPr>
        <w:rPr>
          <w:rFonts w:ascii="Arial" w:hAnsi="Arial" w:cs="Arial"/>
          <w:b/>
          <w:bCs/>
          <w:sz w:val="20"/>
          <w:szCs w:val="20"/>
        </w:rPr>
      </w:pPr>
      <w:r w:rsidRPr="00BA1B7B">
        <w:rPr>
          <w:rFonts w:ascii="Arial" w:hAnsi="Arial" w:cs="Arial"/>
          <w:b/>
          <w:bCs/>
          <w:sz w:val="20"/>
          <w:szCs w:val="20"/>
        </w:rPr>
        <w:t>Angliss Fetal Monitoring Assessment Centre</w:t>
      </w:r>
      <w:r w:rsidRPr="00BA1B7B">
        <w:rPr>
          <w:rFonts w:ascii="Arial" w:hAnsi="Arial" w:cs="Arial"/>
          <w:b/>
          <w:bCs/>
          <w:sz w:val="20"/>
          <w:szCs w:val="20"/>
        </w:rPr>
        <w:tab/>
        <w:t xml:space="preserve">Box Hill Fetal Monitoring Assessment                       </w:t>
      </w:r>
    </w:p>
    <w:p w14:paraId="4BF9313B" w14:textId="77777777" w:rsidR="001242AB" w:rsidRPr="00BA1B7B" w:rsidRDefault="001242AB" w:rsidP="001242AB">
      <w:pPr>
        <w:rPr>
          <w:rFonts w:ascii="Arial" w:hAnsi="Arial" w:cs="Arial"/>
          <w:b/>
          <w:sz w:val="20"/>
          <w:szCs w:val="20"/>
        </w:rPr>
      </w:pPr>
      <w:r w:rsidRPr="00BA1B7B">
        <w:rPr>
          <w:rFonts w:ascii="Arial" w:hAnsi="Arial" w:cs="Arial"/>
          <w:b/>
          <w:sz w:val="20"/>
          <w:szCs w:val="20"/>
        </w:rPr>
        <w:t>(FMAC)</w:t>
      </w:r>
      <w:r w:rsidRPr="00BA1B7B">
        <w:rPr>
          <w:rFonts w:ascii="Arial" w:hAnsi="Arial" w:cs="Arial"/>
          <w:sz w:val="20"/>
          <w:szCs w:val="20"/>
        </w:rPr>
        <w:tab/>
      </w:r>
      <w:r w:rsidRPr="00BA1B7B">
        <w:rPr>
          <w:rFonts w:ascii="Arial" w:hAnsi="Arial" w:cs="Arial"/>
          <w:sz w:val="20"/>
          <w:szCs w:val="20"/>
        </w:rPr>
        <w:tab/>
        <w:t xml:space="preserve">                                                     </w:t>
      </w:r>
      <w:r w:rsidRPr="00BA1B7B">
        <w:rPr>
          <w:rFonts w:ascii="Arial" w:hAnsi="Arial" w:cs="Arial"/>
          <w:b/>
          <w:sz w:val="20"/>
          <w:szCs w:val="20"/>
        </w:rPr>
        <w:t>Centre</w:t>
      </w:r>
      <w:r w:rsidRPr="00BA1B7B">
        <w:rPr>
          <w:rFonts w:ascii="Arial" w:hAnsi="Arial" w:cs="Arial"/>
          <w:sz w:val="20"/>
          <w:szCs w:val="20"/>
        </w:rPr>
        <w:t xml:space="preserve"> </w:t>
      </w:r>
      <w:r w:rsidRPr="00BA1B7B">
        <w:rPr>
          <w:rFonts w:ascii="Arial" w:hAnsi="Arial" w:cs="Arial"/>
          <w:b/>
          <w:sz w:val="20"/>
          <w:szCs w:val="20"/>
        </w:rPr>
        <w:t>(FMAC)</w:t>
      </w:r>
    </w:p>
    <w:p w14:paraId="31E27967" w14:textId="77777777" w:rsidR="001242AB" w:rsidRPr="00BA1B7B" w:rsidRDefault="001242AB" w:rsidP="001242AB">
      <w:pPr>
        <w:rPr>
          <w:rFonts w:ascii="Arial" w:hAnsi="Arial" w:cs="Arial"/>
          <w:b/>
          <w:sz w:val="20"/>
          <w:szCs w:val="20"/>
        </w:rPr>
      </w:pPr>
      <w:r w:rsidRPr="00BA1B7B">
        <w:rPr>
          <w:rFonts w:ascii="Arial" w:hAnsi="Arial" w:cs="Arial"/>
          <w:sz w:val="20"/>
          <w:szCs w:val="20"/>
        </w:rPr>
        <w:t xml:space="preserve"> Phone: 9759 1865</w:t>
      </w:r>
      <w:r w:rsidRPr="00BA1B7B">
        <w:rPr>
          <w:rFonts w:ascii="Arial" w:hAnsi="Arial" w:cs="Arial"/>
          <w:sz w:val="20"/>
          <w:szCs w:val="20"/>
        </w:rPr>
        <w:tab/>
        <w:t xml:space="preserve">                                                     Phone: 9975 6334</w:t>
      </w:r>
    </w:p>
    <w:p w14:paraId="58583D82" w14:textId="77777777" w:rsidR="001242AB" w:rsidRPr="00BA1B7B" w:rsidRDefault="001242AB" w:rsidP="001242AB">
      <w:pPr>
        <w:rPr>
          <w:rFonts w:ascii="Arial" w:hAnsi="Arial" w:cs="Arial"/>
          <w:b/>
          <w:bCs/>
          <w:sz w:val="20"/>
          <w:szCs w:val="20"/>
        </w:rPr>
      </w:pPr>
    </w:p>
    <w:p w14:paraId="4C3C7CF1" w14:textId="77777777" w:rsidR="001242AB" w:rsidRPr="00BA1B7B" w:rsidRDefault="001242AB" w:rsidP="001242AB">
      <w:pPr>
        <w:rPr>
          <w:rFonts w:ascii="Arial" w:hAnsi="Arial" w:cs="Arial"/>
          <w:b/>
          <w:bCs/>
          <w:sz w:val="20"/>
          <w:szCs w:val="20"/>
        </w:rPr>
      </w:pPr>
      <w:r w:rsidRPr="00BA1B7B">
        <w:rPr>
          <w:rFonts w:ascii="Arial" w:hAnsi="Arial" w:cs="Arial"/>
          <w:b/>
          <w:bCs/>
          <w:sz w:val="20"/>
          <w:szCs w:val="20"/>
        </w:rPr>
        <w:t>Angliss Special Care Nursery</w:t>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t>Box Hill Special Care Nursery</w:t>
      </w:r>
    </w:p>
    <w:p w14:paraId="479205CA" w14:textId="77777777" w:rsidR="001242AB" w:rsidRPr="00BA1B7B" w:rsidRDefault="001242AB" w:rsidP="001242AB">
      <w:pPr>
        <w:rPr>
          <w:rFonts w:ascii="Arial" w:hAnsi="Arial" w:cs="Arial"/>
          <w:sz w:val="20"/>
          <w:szCs w:val="20"/>
        </w:rPr>
      </w:pPr>
      <w:r w:rsidRPr="00BA1B7B">
        <w:rPr>
          <w:rFonts w:ascii="Arial" w:hAnsi="Arial" w:cs="Arial"/>
          <w:sz w:val="20"/>
          <w:szCs w:val="20"/>
        </w:rPr>
        <w:t>Phone: 9764 6307</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Phone: 9975 6347</w:t>
      </w:r>
    </w:p>
    <w:p w14:paraId="47F4E0DD" w14:textId="77777777" w:rsidR="001242AB" w:rsidRPr="00BA1B7B" w:rsidRDefault="001242AB" w:rsidP="001242AB">
      <w:pPr>
        <w:rPr>
          <w:rFonts w:ascii="Arial" w:hAnsi="Arial" w:cs="Arial"/>
          <w:b/>
          <w:bCs/>
          <w:sz w:val="20"/>
          <w:szCs w:val="20"/>
        </w:rPr>
      </w:pPr>
    </w:p>
    <w:p w14:paraId="186346E5" w14:textId="77777777" w:rsidR="001242AB" w:rsidRPr="00BA1B7B" w:rsidRDefault="001242AB" w:rsidP="001242AB">
      <w:pPr>
        <w:rPr>
          <w:rFonts w:ascii="Arial" w:hAnsi="Arial" w:cs="Arial"/>
          <w:b/>
          <w:bCs/>
          <w:sz w:val="20"/>
          <w:szCs w:val="20"/>
        </w:rPr>
      </w:pPr>
      <w:r w:rsidRPr="00BA1B7B">
        <w:rPr>
          <w:rFonts w:ascii="Arial" w:hAnsi="Arial" w:cs="Arial"/>
          <w:b/>
          <w:bCs/>
          <w:sz w:val="20"/>
          <w:szCs w:val="20"/>
        </w:rPr>
        <w:t>Angliss Maternity Ward</w:t>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t>Box Hill Maternity Ward</w:t>
      </w:r>
    </w:p>
    <w:p w14:paraId="33A3730B" w14:textId="77777777" w:rsidR="001242AB" w:rsidRPr="00BA1B7B" w:rsidRDefault="001242AB" w:rsidP="001242AB">
      <w:pPr>
        <w:rPr>
          <w:rFonts w:ascii="Arial" w:hAnsi="Arial" w:cs="Arial"/>
          <w:sz w:val="20"/>
          <w:szCs w:val="20"/>
        </w:rPr>
      </w:pPr>
      <w:r w:rsidRPr="00BA1B7B">
        <w:rPr>
          <w:rFonts w:ascii="Arial" w:hAnsi="Arial" w:cs="Arial"/>
          <w:sz w:val="20"/>
          <w:szCs w:val="20"/>
        </w:rPr>
        <w:t>Phone: 1300 342 255</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Phone: 1300 342 255</w:t>
      </w:r>
    </w:p>
    <w:p w14:paraId="20813B26" w14:textId="77777777" w:rsidR="001242AB" w:rsidRPr="00BA1B7B" w:rsidRDefault="001242AB" w:rsidP="001242AB">
      <w:pPr>
        <w:rPr>
          <w:rFonts w:ascii="Arial" w:hAnsi="Arial" w:cs="Arial"/>
          <w:b/>
          <w:bCs/>
          <w:sz w:val="20"/>
          <w:szCs w:val="20"/>
        </w:rPr>
      </w:pPr>
    </w:p>
    <w:p w14:paraId="18C6E597" w14:textId="77777777" w:rsidR="001242AB" w:rsidRPr="00BA1B7B" w:rsidRDefault="001242AB" w:rsidP="001242AB">
      <w:pPr>
        <w:rPr>
          <w:rFonts w:ascii="Arial" w:hAnsi="Arial" w:cs="Arial"/>
          <w:b/>
          <w:bCs/>
          <w:sz w:val="20"/>
          <w:szCs w:val="20"/>
        </w:rPr>
      </w:pPr>
      <w:r w:rsidRPr="00BA1B7B">
        <w:rPr>
          <w:rFonts w:ascii="Arial" w:hAnsi="Arial" w:cs="Arial"/>
          <w:b/>
          <w:bCs/>
          <w:sz w:val="20"/>
          <w:szCs w:val="20"/>
        </w:rPr>
        <w:t>Angliss Extended Post Natal Care:</w:t>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t>Box Hill Extended Post Natal Care:</w:t>
      </w:r>
    </w:p>
    <w:p w14:paraId="2162A1F5" w14:textId="77777777" w:rsidR="001242AB" w:rsidRPr="00BA1B7B" w:rsidRDefault="001242AB" w:rsidP="001242AB">
      <w:pPr>
        <w:rPr>
          <w:rFonts w:ascii="Arial" w:hAnsi="Arial" w:cs="Arial"/>
          <w:sz w:val="20"/>
          <w:szCs w:val="20"/>
        </w:rPr>
      </w:pPr>
      <w:r w:rsidRPr="00BA1B7B">
        <w:rPr>
          <w:rFonts w:ascii="Arial" w:hAnsi="Arial" w:cs="Arial"/>
          <w:sz w:val="20"/>
          <w:szCs w:val="20"/>
        </w:rPr>
        <w:t>Ph: 9764 6322</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Ph: 8396 8347</w:t>
      </w:r>
    </w:p>
    <w:p w14:paraId="5FEBEE26" w14:textId="77777777" w:rsidR="001242AB" w:rsidRPr="00BA1B7B" w:rsidRDefault="001242AB" w:rsidP="001242AB">
      <w:pPr>
        <w:rPr>
          <w:rFonts w:ascii="Arial" w:hAnsi="Arial" w:cs="Arial"/>
          <w:b/>
          <w:bCs/>
          <w:sz w:val="20"/>
          <w:szCs w:val="20"/>
        </w:rPr>
      </w:pPr>
    </w:p>
    <w:p w14:paraId="67B3A6CC" w14:textId="7173A43B" w:rsidR="00FA44B4" w:rsidRPr="00BA1B7B" w:rsidRDefault="001242AB" w:rsidP="00FA44B4">
      <w:r w:rsidRPr="00BA1B7B">
        <w:rPr>
          <w:rFonts w:ascii="Arial" w:hAnsi="Arial" w:cs="Arial"/>
          <w:b/>
          <w:bCs/>
          <w:sz w:val="20"/>
          <w:szCs w:val="20"/>
        </w:rPr>
        <w:t xml:space="preserve">Yarra Ranges Antenatal Clinic:                                    </w:t>
      </w:r>
      <w:r w:rsidR="005F1FD7">
        <w:rPr>
          <w:rFonts w:ascii="Arial" w:hAnsi="Arial" w:cs="Arial"/>
          <w:b/>
          <w:bCs/>
          <w:sz w:val="20"/>
          <w:szCs w:val="20"/>
        </w:rPr>
        <w:t xml:space="preserve">  </w:t>
      </w:r>
      <w:r w:rsidRPr="00BA1B7B">
        <w:rPr>
          <w:rFonts w:ascii="Arial" w:hAnsi="Arial" w:cs="Arial"/>
          <w:b/>
          <w:bCs/>
          <w:sz w:val="20"/>
          <w:szCs w:val="20"/>
        </w:rPr>
        <w:t xml:space="preserve">Fetal Diagnostic Service Screening Enquiries: </w:t>
      </w:r>
      <w:r w:rsidR="00FA44B4" w:rsidRPr="00BA1B7B">
        <w:rPr>
          <w:rFonts w:ascii="Arial" w:hAnsi="Arial" w:cs="Arial"/>
          <w:b/>
          <w:bCs/>
          <w:sz w:val="20"/>
          <w:szCs w:val="20"/>
        </w:rPr>
        <w:t xml:space="preserve">                                                                     </w:t>
      </w:r>
      <w:r w:rsidR="005F1FD7">
        <w:rPr>
          <w:rFonts w:ascii="Arial" w:hAnsi="Arial" w:cs="Arial"/>
          <w:b/>
          <w:bCs/>
          <w:sz w:val="20"/>
          <w:szCs w:val="20"/>
        </w:rPr>
        <w:t xml:space="preserve">  </w:t>
      </w:r>
      <w:r w:rsidR="00FA44B4" w:rsidRPr="00BA1B7B">
        <w:rPr>
          <w:rFonts w:ascii="Arial" w:hAnsi="Arial" w:cs="Arial"/>
          <w:b/>
          <w:bCs/>
          <w:sz w:val="20"/>
          <w:szCs w:val="20"/>
        </w:rPr>
        <w:t xml:space="preserve"> </w:t>
      </w:r>
      <w:hyperlink r:id="rId15" w:history="1">
        <w:r w:rsidR="00FA44B4" w:rsidRPr="00BA1B7B">
          <w:rPr>
            <w:rStyle w:val="Hyperlink"/>
            <w:rFonts w:ascii="Verdana" w:hAnsi="Verdana"/>
            <w:color w:val="auto"/>
            <w:sz w:val="18"/>
            <w:szCs w:val="18"/>
          </w:rPr>
          <w:t>FDS@easternhealth.org.au</w:t>
        </w:r>
      </w:hyperlink>
      <w:r w:rsidR="00FA44B4" w:rsidRPr="00BA1B7B">
        <w:rPr>
          <w:rFonts w:ascii="Verdana" w:hAnsi="Verdana"/>
          <w:sz w:val="18"/>
          <w:szCs w:val="18"/>
        </w:rPr>
        <w:t>.</w:t>
      </w:r>
    </w:p>
    <w:p w14:paraId="4232EBB8" w14:textId="7C706EA1" w:rsidR="001242AB" w:rsidRPr="00BA1B7B" w:rsidRDefault="001242AB" w:rsidP="001242AB">
      <w:pPr>
        <w:rPr>
          <w:rFonts w:ascii="Arial" w:hAnsi="Arial" w:cs="Arial"/>
          <w:sz w:val="20"/>
          <w:szCs w:val="20"/>
        </w:rPr>
      </w:pPr>
      <w:r w:rsidRPr="00BA1B7B">
        <w:rPr>
          <w:rFonts w:ascii="Arial" w:hAnsi="Arial" w:cs="Arial"/>
          <w:sz w:val="20"/>
          <w:szCs w:val="20"/>
        </w:rPr>
        <w:t xml:space="preserve">Phone: 8706 9601                                                           </w:t>
      </w:r>
      <w:r w:rsidR="005F1FD7">
        <w:rPr>
          <w:rFonts w:ascii="Arial" w:hAnsi="Arial" w:cs="Arial"/>
          <w:sz w:val="20"/>
          <w:szCs w:val="20"/>
        </w:rPr>
        <w:t xml:space="preserve"> </w:t>
      </w:r>
      <w:r w:rsidRPr="00BA1B7B">
        <w:rPr>
          <w:rFonts w:ascii="Arial" w:hAnsi="Arial" w:cs="Arial"/>
          <w:sz w:val="20"/>
          <w:szCs w:val="20"/>
        </w:rPr>
        <w:t xml:space="preserve"> </w:t>
      </w:r>
      <w:r w:rsidRPr="00BA1B7B">
        <w:rPr>
          <w:rFonts w:ascii="Arial" w:hAnsi="Arial" w:cs="Arial"/>
          <w:bCs/>
          <w:sz w:val="20"/>
          <w:szCs w:val="20"/>
        </w:rPr>
        <w:t xml:space="preserve">Phone: </w:t>
      </w:r>
      <w:r w:rsidRPr="00BA1B7B">
        <w:rPr>
          <w:rFonts w:ascii="Arial" w:hAnsi="Arial" w:cs="Arial"/>
          <w:sz w:val="20"/>
          <w:szCs w:val="20"/>
        </w:rPr>
        <w:t xml:space="preserve">0466 571 451 </w:t>
      </w:r>
    </w:p>
    <w:p w14:paraId="3689BB33" w14:textId="77777777" w:rsidR="001242AB" w:rsidRPr="00BA1B7B" w:rsidRDefault="001242AB" w:rsidP="001242AB">
      <w:pPr>
        <w:rPr>
          <w:rFonts w:ascii="Arial" w:hAnsi="Arial" w:cs="Arial"/>
          <w:bCs/>
          <w:sz w:val="20"/>
          <w:szCs w:val="20"/>
        </w:rPr>
      </w:pPr>
      <w:r w:rsidRPr="00BA1B7B">
        <w:rPr>
          <w:rFonts w:ascii="Arial" w:hAnsi="Arial" w:cs="Arial"/>
          <w:sz w:val="20"/>
          <w:szCs w:val="20"/>
        </w:rPr>
        <w:t>Fax: 9091 8899</w:t>
      </w:r>
      <w:r w:rsidRPr="00BA1B7B">
        <w:rPr>
          <w:rFonts w:ascii="Arial" w:hAnsi="Arial" w:cs="Arial"/>
          <w:sz w:val="20"/>
          <w:szCs w:val="20"/>
        </w:rPr>
        <w:tab/>
      </w:r>
      <w:r w:rsidRPr="00BA1B7B">
        <w:rPr>
          <w:rFonts w:ascii="Arial" w:hAnsi="Arial" w:cs="Arial"/>
          <w:b/>
          <w:bCs/>
          <w:sz w:val="20"/>
          <w:szCs w:val="20"/>
        </w:rPr>
        <w:tab/>
        <w:t xml:space="preserve">                                      </w:t>
      </w:r>
    </w:p>
    <w:p w14:paraId="5CDF66B2" w14:textId="77777777" w:rsidR="001242AB" w:rsidRPr="00BA1B7B" w:rsidRDefault="001242AB" w:rsidP="001242AB">
      <w:pPr>
        <w:rPr>
          <w:rFonts w:ascii="Arial" w:hAnsi="Arial" w:cs="Arial"/>
          <w:b/>
          <w:bCs/>
          <w:sz w:val="20"/>
          <w:szCs w:val="20"/>
        </w:rPr>
      </w:pPr>
    </w:p>
    <w:p w14:paraId="0173AC56" w14:textId="766B0AF7" w:rsidR="001242AB" w:rsidRPr="00BA1B7B" w:rsidRDefault="001242AB" w:rsidP="001242AB">
      <w:pPr>
        <w:rPr>
          <w:rFonts w:ascii="Arial" w:hAnsi="Arial" w:cs="Arial"/>
          <w:b/>
          <w:bCs/>
          <w:sz w:val="20"/>
          <w:szCs w:val="20"/>
        </w:rPr>
      </w:pPr>
      <w:r w:rsidRPr="00BA1B7B">
        <w:rPr>
          <w:rFonts w:ascii="Arial" w:hAnsi="Arial" w:cs="Arial"/>
          <w:b/>
          <w:bCs/>
          <w:sz w:val="20"/>
          <w:szCs w:val="20"/>
        </w:rPr>
        <w:t xml:space="preserve">Yarra Ranges FMAC:                        </w:t>
      </w:r>
      <w:r w:rsidR="00A54525" w:rsidRPr="00BA1B7B">
        <w:rPr>
          <w:rFonts w:ascii="Arial" w:hAnsi="Arial" w:cs="Arial"/>
          <w:b/>
          <w:bCs/>
          <w:sz w:val="20"/>
          <w:szCs w:val="20"/>
        </w:rPr>
        <w:t xml:space="preserve">                              </w:t>
      </w:r>
      <w:r w:rsidRPr="00BA1B7B">
        <w:rPr>
          <w:rFonts w:ascii="Arial" w:hAnsi="Arial" w:cs="Arial"/>
          <w:b/>
          <w:bCs/>
          <w:sz w:val="20"/>
          <w:szCs w:val="20"/>
        </w:rPr>
        <w:t>GP Liaison:</w:t>
      </w:r>
      <w:r w:rsidRPr="00BA1B7B">
        <w:rPr>
          <w:rFonts w:ascii="Arial" w:hAnsi="Arial" w:cs="Arial"/>
          <w:sz w:val="20"/>
          <w:szCs w:val="20"/>
        </w:rPr>
        <w:t xml:space="preserve"> Dr </w:t>
      </w:r>
      <w:r w:rsidR="00A54525" w:rsidRPr="00BA1B7B">
        <w:rPr>
          <w:rFonts w:ascii="Arial" w:hAnsi="Arial" w:cs="Arial"/>
          <w:sz w:val="20"/>
          <w:szCs w:val="20"/>
        </w:rPr>
        <w:t>Thong Li</w:t>
      </w:r>
    </w:p>
    <w:p w14:paraId="4DA70169" w14:textId="77777777" w:rsidR="001242AB" w:rsidRPr="00BA1B7B" w:rsidRDefault="001242AB" w:rsidP="001242AB">
      <w:pPr>
        <w:rPr>
          <w:rFonts w:ascii="Arial" w:hAnsi="Arial" w:cs="Arial"/>
          <w:sz w:val="20"/>
          <w:szCs w:val="20"/>
        </w:rPr>
      </w:pPr>
      <w:r w:rsidRPr="00BA1B7B">
        <w:rPr>
          <w:rFonts w:ascii="Arial" w:hAnsi="Arial" w:cs="Arial"/>
          <w:sz w:val="20"/>
          <w:szCs w:val="20"/>
        </w:rPr>
        <w:t xml:space="preserve">Phone: 9091 8888                                                             Phone: </w:t>
      </w:r>
      <w:r w:rsidRPr="00BA1B7B">
        <w:rPr>
          <w:rFonts w:ascii="Arial" w:hAnsi="Arial" w:cs="Arial"/>
          <w:sz w:val="20"/>
          <w:szCs w:val="20"/>
          <w:lang w:val="en-US" w:eastAsia="ja-JP"/>
        </w:rPr>
        <w:t>9955 7500</w:t>
      </w:r>
      <w:r w:rsidRPr="00BA1B7B">
        <w:rPr>
          <w:rFonts w:ascii="Arial" w:hAnsi="Arial" w:cs="Arial"/>
          <w:sz w:val="20"/>
          <w:szCs w:val="20"/>
        </w:rPr>
        <w:tab/>
      </w:r>
    </w:p>
    <w:p w14:paraId="1AEDEC65" w14:textId="5D29AB5E" w:rsidR="001242AB" w:rsidRPr="00BA1B7B" w:rsidRDefault="001242AB" w:rsidP="001242AB">
      <w:pPr>
        <w:rPr>
          <w:rFonts w:ascii="Arial" w:hAnsi="Arial" w:cs="Arial"/>
          <w:b/>
          <w:bCs/>
          <w:sz w:val="20"/>
          <w:szCs w:val="20"/>
        </w:rPr>
      </w:pPr>
      <w:r w:rsidRPr="00BA1B7B">
        <w:rPr>
          <w:rFonts w:ascii="Arial" w:hAnsi="Arial" w:cs="Arial"/>
          <w:sz w:val="20"/>
          <w:szCs w:val="20"/>
        </w:rPr>
        <w:t xml:space="preserve">                                                                                          </w:t>
      </w:r>
      <w:r w:rsidRPr="00BA1B7B">
        <w:rPr>
          <w:rFonts w:ascii="Arial" w:hAnsi="Arial" w:cs="Arial"/>
          <w:b/>
          <w:bCs/>
          <w:sz w:val="20"/>
          <w:szCs w:val="20"/>
        </w:rPr>
        <w:t xml:space="preserve"> </w:t>
      </w:r>
      <w:r w:rsidRPr="00BA1B7B">
        <w:rPr>
          <w:rFonts w:ascii="Arial" w:hAnsi="Arial" w:cs="Arial"/>
          <w:sz w:val="20"/>
          <w:szCs w:val="20"/>
        </w:rPr>
        <w:t xml:space="preserve">Fax: </w:t>
      </w:r>
      <w:r w:rsidRPr="00BA1B7B">
        <w:rPr>
          <w:rFonts w:ascii="Arial" w:hAnsi="Arial" w:cs="Arial"/>
          <w:sz w:val="20"/>
          <w:szCs w:val="20"/>
          <w:lang w:val="en-US" w:eastAsia="ja-JP"/>
        </w:rPr>
        <w:t>9955 7518</w:t>
      </w:r>
    </w:p>
    <w:p w14:paraId="7693C691" w14:textId="6A229673" w:rsidR="001242AB" w:rsidRPr="00BA1B7B" w:rsidRDefault="001242AB" w:rsidP="001242AB">
      <w:pPr>
        <w:rPr>
          <w:rFonts w:ascii="Arial" w:hAnsi="Arial" w:cs="Arial"/>
          <w:sz w:val="20"/>
          <w:szCs w:val="20"/>
        </w:rPr>
      </w:pPr>
      <w:r w:rsidRPr="00BA1B7B">
        <w:rPr>
          <w:rFonts w:ascii="Arial" w:hAnsi="Arial" w:cs="Arial"/>
          <w:bCs/>
          <w:sz w:val="20"/>
          <w:szCs w:val="20"/>
        </w:rPr>
        <w:t xml:space="preserve">                                                             </w:t>
      </w:r>
      <w:r w:rsidR="00B429C7" w:rsidRPr="00BA1B7B">
        <w:rPr>
          <w:rFonts w:ascii="Arial" w:hAnsi="Arial" w:cs="Arial"/>
          <w:bCs/>
          <w:sz w:val="20"/>
          <w:szCs w:val="20"/>
        </w:rPr>
        <w:t xml:space="preserve">                              </w:t>
      </w:r>
      <w:hyperlink r:id="rId16" w:history="1">
        <w:r w:rsidR="00B429C7" w:rsidRPr="00BA1B7B">
          <w:rPr>
            <w:rStyle w:val="Hyperlink"/>
            <w:rFonts w:ascii="Arial" w:hAnsi="Arial" w:cs="Arial"/>
            <w:bCs/>
            <w:color w:val="auto"/>
            <w:sz w:val="20"/>
            <w:szCs w:val="20"/>
          </w:rPr>
          <w:t>gpliaisonofficer@easternhealth.org.au</w:t>
        </w:r>
      </w:hyperlink>
    </w:p>
    <w:p w14:paraId="1E3591F4" w14:textId="77777777" w:rsidR="001242AB" w:rsidRPr="00BA1B7B" w:rsidRDefault="001242AB" w:rsidP="001242AB">
      <w:pPr>
        <w:rPr>
          <w:rFonts w:ascii="Arial" w:hAnsi="Arial" w:cs="Arial"/>
          <w:b/>
          <w:bCs/>
          <w:sz w:val="20"/>
          <w:szCs w:val="20"/>
        </w:rPr>
      </w:pPr>
    </w:p>
    <w:p w14:paraId="082CF910" w14:textId="77777777" w:rsidR="001242AB" w:rsidRPr="00BA1B7B" w:rsidRDefault="001242AB" w:rsidP="001242AB">
      <w:pPr>
        <w:rPr>
          <w:rFonts w:ascii="Arial" w:hAnsi="Arial" w:cs="Arial"/>
          <w:b/>
          <w:bCs/>
          <w:sz w:val="20"/>
          <w:szCs w:val="20"/>
        </w:rPr>
      </w:pPr>
    </w:p>
    <w:p w14:paraId="405B8FDD" w14:textId="77777777" w:rsidR="001242AB" w:rsidRPr="00BA1B7B" w:rsidRDefault="001242AB" w:rsidP="001242AB">
      <w:pPr>
        <w:rPr>
          <w:rFonts w:ascii="Arial" w:hAnsi="Arial" w:cs="Arial"/>
          <w:b/>
          <w:bCs/>
          <w:sz w:val="20"/>
          <w:szCs w:val="20"/>
        </w:rPr>
      </w:pPr>
    </w:p>
    <w:p w14:paraId="13AADBD8" w14:textId="77777777" w:rsidR="001242AB" w:rsidRPr="00BA1B7B" w:rsidRDefault="001242AB" w:rsidP="001242AB">
      <w:pPr>
        <w:jc w:val="center"/>
        <w:rPr>
          <w:rFonts w:ascii="Arial" w:hAnsi="Arial" w:cs="Arial"/>
          <w:b/>
          <w:bCs/>
          <w:sz w:val="20"/>
          <w:szCs w:val="20"/>
        </w:rPr>
      </w:pPr>
      <w:r w:rsidRPr="00BA1B7B">
        <w:rPr>
          <w:rFonts w:ascii="Arial" w:hAnsi="Arial" w:cs="Arial"/>
          <w:b/>
          <w:bCs/>
          <w:sz w:val="20"/>
          <w:szCs w:val="20"/>
        </w:rPr>
        <w:t>For Urgent Assistance please contact Ambulance Victoria on 000</w:t>
      </w:r>
    </w:p>
    <w:p w14:paraId="1CC096AF" w14:textId="77777777" w:rsidR="001242AB" w:rsidRPr="00BA1B7B" w:rsidRDefault="001242AB" w:rsidP="00A54525">
      <w:pPr>
        <w:jc w:val="center"/>
        <w:rPr>
          <w:rFonts w:ascii="Arial" w:hAnsi="Arial" w:cs="Arial"/>
          <w:b/>
          <w:bCs/>
          <w:sz w:val="20"/>
          <w:szCs w:val="20"/>
        </w:rPr>
      </w:pPr>
    </w:p>
    <w:p w14:paraId="2361674E" w14:textId="7503EAE3" w:rsidR="001242AB" w:rsidRPr="00BA1B7B" w:rsidRDefault="001242AB" w:rsidP="00A54525">
      <w:pPr>
        <w:jc w:val="center"/>
        <w:rPr>
          <w:rFonts w:ascii="Arial" w:hAnsi="Arial" w:cs="Arial"/>
          <w:b/>
          <w:bCs/>
          <w:sz w:val="20"/>
          <w:szCs w:val="20"/>
        </w:rPr>
      </w:pPr>
      <w:r w:rsidRPr="00BA1B7B">
        <w:rPr>
          <w:rFonts w:ascii="Arial" w:hAnsi="Arial" w:cs="Arial"/>
          <w:b/>
          <w:bCs/>
          <w:sz w:val="20"/>
          <w:szCs w:val="20"/>
        </w:rPr>
        <w:t>For all other enquiries Eastern Health Switch will be able to assist with your enquiries on</w:t>
      </w:r>
    </w:p>
    <w:p w14:paraId="6AC4E9DC" w14:textId="77777777" w:rsidR="001242AB" w:rsidRPr="00BA1B7B" w:rsidRDefault="001242AB" w:rsidP="00A54525">
      <w:pPr>
        <w:pStyle w:val="SubheadingLevel2EASH"/>
        <w:spacing w:line="276" w:lineRule="auto"/>
        <w:ind w:left="0" w:right="95"/>
        <w:jc w:val="center"/>
        <w:rPr>
          <w:color w:val="auto"/>
        </w:rPr>
      </w:pPr>
      <w:r w:rsidRPr="00BA1B7B">
        <w:rPr>
          <w:b w:val="0"/>
          <w:bCs/>
          <w:color w:val="auto"/>
        </w:rPr>
        <w:t>1300 EH CALL or 1300 342 255</w:t>
      </w:r>
    </w:p>
    <w:p w14:paraId="1F4C848D" w14:textId="77777777" w:rsidR="001242AB" w:rsidRPr="00BA1B7B" w:rsidRDefault="001242AB" w:rsidP="004E7BEF">
      <w:pPr>
        <w:pStyle w:val="SubheadingLevel2EASH"/>
        <w:spacing w:line="276" w:lineRule="auto"/>
        <w:ind w:left="0" w:right="95"/>
        <w:rPr>
          <w:color w:val="auto"/>
        </w:rPr>
      </w:pPr>
    </w:p>
    <w:p w14:paraId="5585D0CA" w14:textId="77777777" w:rsidR="001242AB" w:rsidRPr="00BA1B7B" w:rsidRDefault="001242AB" w:rsidP="004E7BEF">
      <w:pPr>
        <w:pStyle w:val="SubheadingLevel2EASH"/>
        <w:spacing w:line="276" w:lineRule="auto"/>
        <w:ind w:left="0" w:right="95"/>
        <w:rPr>
          <w:color w:val="auto"/>
        </w:rPr>
      </w:pPr>
    </w:p>
    <w:p w14:paraId="09A7BEBC" w14:textId="77777777" w:rsidR="001242AB" w:rsidRPr="00BA1B7B" w:rsidRDefault="001242AB" w:rsidP="004E7BEF">
      <w:pPr>
        <w:pStyle w:val="SubheadingLevel2EASH"/>
        <w:spacing w:line="276" w:lineRule="auto"/>
        <w:ind w:left="0" w:right="95"/>
        <w:rPr>
          <w:color w:val="auto"/>
        </w:rPr>
      </w:pPr>
    </w:p>
    <w:p w14:paraId="034CF49D" w14:textId="77777777" w:rsidR="001242AB" w:rsidRPr="00BA1B7B" w:rsidRDefault="001242AB" w:rsidP="004E7BEF">
      <w:pPr>
        <w:pStyle w:val="SubheadingLevel2EASH"/>
        <w:spacing w:line="276" w:lineRule="auto"/>
        <w:ind w:left="0" w:right="95"/>
        <w:rPr>
          <w:color w:val="auto"/>
        </w:rPr>
      </w:pPr>
    </w:p>
    <w:p w14:paraId="3A50D4FF" w14:textId="77777777" w:rsidR="001242AB" w:rsidRPr="00BA1B7B" w:rsidRDefault="001242AB" w:rsidP="004E7BEF">
      <w:pPr>
        <w:pStyle w:val="SubheadingLevel2EASH"/>
        <w:spacing w:line="276" w:lineRule="auto"/>
        <w:ind w:left="0" w:right="95"/>
        <w:rPr>
          <w:color w:val="auto"/>
        </w:rPr>
      </w:pPr>
    </w:p>
    <w:p w14:paraId="4A0809B0" w14:textId="77777777" w:rsidR="001242AB" w:rsidRPr="00BA1B7B" w:rsidRDefault="001242AB" w:rsidP="004E7BEF">
      <w:pPr>
        <w:pStyle w:val="SubheadingLevel2EASH"/>
        <w:spacing w:line="276" w:lineRule="auto"/>
        <w:ind w:left="0" w:right="95"/>
        <w:rPr>
          <w:color w:val="auto"/>
        </w:rPr>
      </w:pPr>
    </w:p>
    <w:p w14:paraId="3168879F" w14:textId="77777777" w:rsidR="001242AB" w:rsidRPr="00BA1B7B" w:rsidRDefault="001242AB" w:rsidP="004E7BEF">
      <w:pPr>
        <w:pStyle w:val="SubheadingLevel2EASH"/>
        <w:spacing w:line="276" w:lineRule="auto"/>
        <w:ind w:left="0" w:right="95"/>
        <w:rPr>
          <w:color w:val="auto"/>
        </w:rPr>
      </w:pPr>
    </w:p>
    <w:p w14:paraId="12279AB5" w14:textId="77777777" w:rsidR="001242AB" w:rsidRPr="00BA1B7B" w:rsidRDefault="001242AB" w:rsidP="004E7BEF">
      <w:pPr>
        <w:pStyle w:val="SubheadingLevel2EASH"/>
        <w:spacing w:line="276" w:lineRule="auto"/>
        <w:ind w:left="0" w:right="95"/>
        <w:rPr>
          <w:color w:val="auto"/>
        </w:rPr>
      </w:pPr>
    </w:p>
    <w:p w14:paraId="1466D139" w14:textId="00C7E96E" w:rsidR="001242AB" w:rsidRPr="00BA1B7B" w:rsidRDefault="001242AB" w:rsidP="004A22FD">
      <w:pPr>
        <w:pStyle w:val="ListParagraph"/>
        <w:numPr>
          <w:ilvl w:val="0"/>
          <w:numId w:val="65"/>
        </w:numPr>
        <w:shd w:val="clear" w:color="auto" w:fill="FFFFFF"/>
        <w:spacing w:before="100" w:beforeAutospacing="1" w:after="100" w:afterAutospacing="1"/>
        <w:outlineLvl w:val="1"/>
        <w:rPr>
          <w:rFonts w:ascii="Arial" w:eastAsia="Times New Roman" w:hAnsi="Arial" w:cs="Arial"/>
          <w:b/>
          <w:bCs/>
          <w:sz w:val="20"/>
          <w:szCs w:val="20"/>
          <w:lang w:eastAsia="en-AU"/>
        </w:rPr>
      </w:pPr>
      <w:bookmarkStart w:id="7" w:name="_Toc120614273"/>
      <w:r w:rsidRPr="00BA1B7B">
        <w:rPr>
          <w:rFonts w:ascii="Arial" w:eastAsia="Times New Roman" w:hAnsi="Arial" w:cs="Arial"/>
          <w:b/>
          <w:bCs/>
          <w:sz w:val="20"/>
          <w:szCs w:val="20"/>
          <w:lang w:eastAsia="en-AU"/>
        </w:rPr>
        <w:t>S</w:t>
      </w:r>
      <w:r w:rsidR="00074F2F" w:rsidRPr="00BA1B7B">
        <w:rPr>
          <w:rFonts w:ascii="Arial" w:eastAsia="Times New Roman" w:hAnsi="Arial" w:cs="Arial"/>
          <w:b/>
          <w:bCs/>
          <w:sz w:val="20"/>
          <w:szCs w:val="20"/>
          <w:lang w:eastAsia="en-AU"/>
        </w:rPr>
        <w:t>hared Care at Eastern Health</w:t>
      </w:r>
      <w:bookmarkEnd w:id="7"/>
    </w:p>
    <w:p w14:paraId="1052D557" w14:textId="21D2D73F" w:rsidR="005C6BE0" w:rsidRPr="00BA1B7B" w:rsidRDefault="005C6BE0" w:rsidP="005C6BE0">
      <w:pPr>
        <w:pStyle w:val="ListParagraph"/>
        <w:shd w:val="clear" w:color="auto" w:fill="FFFFFF"/>
        <w:spacing w:before="100" w:beforeAutospacing="1" w:after="100" w:afterAutospacing="1"/>
        <w:ind w:left="360"/>
        <w:outlineLvl w:val="1"/>
        <w:rPr>
          <w:rFonts w:ascii="Arial" w:eastAsia="Times New Roman" w:hAnsi="Arial" w:cs="Arial"/>
          <w:b/>
          <w:bCs/>
          <w:sz w:val="20"/>
          <w:szCs w:val="20"/>
          <w:lang w:eastAsia="en-AU"/>
        </w:rPr>
      </w:pPr>
    </w:p>
    <w:p w14:paraId="69984E31" w14:textId="2FC2D652" w:rsidR="001242AB" w:rsidRPr="005F1FD7" w:rsidRDefault="001242AB" w:rsidP="005F1FD7">
      <w:pPr>
        <w:pStyle w:val="ListParagraph"/>
        <w:numPr>
          <w:ilvl w:val="1"/>
          <w:numId w:val="65"/>
        </w:num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 w:name="_Toc120614274"/>
      <w:r w:rsidRPr="00BA1B7B">
        <w:rPr>
          <w:rFonts w:ascii="Arial" w:eastAsia="Times New Roman" w:hAnsi="Arial" w:cs="Arial"/>
          <w:b/>
          <w:bCs/>
          <w:sz w:val="20"/>
          <w:szCs w:val="20"/>
          <w:lang w:eastAsia="en-AU"/>
        </w:rPr>
        <w:t>Requirements for becoming a shared care provider at Eastern Health</w:t>
      </w:r>
      <w:bookmarkEnd w:id="8"/>
      <w:r w:rsidRPr="00BA1B7B">
        <w:rPr>
          <w:rFonts w:ascii="Arial" w:eastAsia="Times New Roman" w:hAnsi="Arial" w:cs="Arial"/>
          <w:b/>
          <w:bCs/>
          <w:sz w:val="20"/>
          <w:szCs w:val="20"/>
          <w:lang w:eastAsia="en-AU"/>
        </w:rPr>
        <w:t xml:space="preserve"> </w:t>
      </w:r>
    </w:p>
    <w:p w14:paraId="4C8883D2" w14:textId="77777777" w:rsidR="00A54525" w:rsidRPr="00BA1B7B" w:rsidRDefault="001242AB" w:rsidP="001242AB">
      <w:pPr>
        <w:autoSpaceDE w:val="0"/>
        <w:autoSpaceDN w:val="0"/>
        <w:adjustRightInd w:val="0"/>
        <w:spacing w:line="276" w:lineRule="auto"/>
        <w:rPr>
          <w:rFonts w:ascii="Arial" w:hAnsi="Arial" w:cs="Arial"/>
          <w:sz w:val="20"/>
          <w:szCs w:val="20"/>
        </w:rPr>
      </w:pPr>
      <w:r w:rsidRPr="00BA1B7B">
        <w:rPr>
          <w:rFonts w:ascii="Arial" w:hAnsi="Arial" w:cs="Arial"/>
          <w:sz w:val="20"/>
          <w:szCs w:val="20"/>
        </w:rPr>
        <w:t xml:space="preserve">To be considered for initial accreditation, GP shared care applicants are required to have obtained a </w:t>
      </w:r>
      <w:r w:rsidRPr="00BA1B7B">
        <w:rPr>
          <w:rFonts w:ascii="Arial" w:hAnsi="Arial" w:cs="Arial"/>
          <w:b/>
          <w:bCs/>
          <w:sz w:val="20"/>
          <w:szCs w:val="20"/>
        </w:rPr>
        <w:t xml:space="preserve">Fellowship of the Royal Australian College of General Practitioners (FRACGP) or equivalent </w:t>
      </w:r>
      <w:r w:rsidRPr="00BA1B7B">
        <w:rPr>
          <w:rFonts w:ascii="Arial" w:hAnsi="Arial" w:cs="Arial"/>
          <w:sz w:val="20"/>
          <w:szCs w:val="20"/>
        </w:rPr>
        <w:t xml:space="preserve">in addition to </w:t>
      </w:r>
      <w:r w:rsidRPr="00BA1B7B">
        <w:rPr>
          <w:rFonts w:ascii="Arial" w:hAnsi="Arial" w:cs="Arial"/>
          <w:b/>
          <w:bCs/>
          <w:sz w:val="20"/>
          <w:szCs w:val="20"/>
        </w:rPr>
        <w:t xml:space="preserve">one </w:t>
      </w:r>
      <w:r w:rsidRPr="00BA1B7B">
        <w:rPr>
          <w:rFonts w:ascii="Arial" w:hAnsi="Arial" w:cs="Arial"/>
          <w:sz w:val="20"/>
          <w:szCs w:val="20"/>
        </w:rPr>
        <w:t>of the following criteria:</w:t>
      </w:r>
    </w:p>
    <w:p w14:paraId="69A94D2F" w14:textId="69A9A929" w:rsidR="001242AB" w:rsidRPr="00BA1B7B" w:rsidRDefault="001242AB" w:rsidP="001242AB">
      <w:pPr>
        <w:autoSpaceDE w:val="0"/>
        <w:autoSpaceDN w:val="0"/>
        <w:adjustRightInd w:val="0"/>
        <w:spacing w:line="276" w:lineRule="auto"/>
        <w:rPr>
          <w:rFonts w:ascii="Arial" w:hAnsi="Arial" w:cs="Arial"/>
          <w:sz w:val="20"/>
          <w:szCs w:val="20"/>
        </w:rPr>
      </w:pPr>
      <w:r w:rsidRPr="00BA1B7B">
        <w:rPr>
          <w:rFonts w:ascii="Arial" w:hAnsi="Arial" w:cs="Arial"/>
          <w:sz w:val="20"/>
          <w:szCs w:val="20"/>
        </w:rPr>
        <w:t xml:space="preserve"> </w:t>
      </w:r>
    </w:p>
    <w:p w14:paraId="6EA98E83" w14:textId="32D8B032" w:rsidR="00352B6D" w:rsidRPr="00BA1B7B" w:rsidRDefault="00352B6D" w:rsidP="004A22FD">
      <w:pPr>
        <w:pStyle w:val="ListParagraph"/>
        <w:numPr>
          <w:ilvl w:val="0"/>
          <w:numId w:val="63"/>
        </w:numPr>
        <w:autoSpaceDE w:val="0"/>
        <w:autoSpaceDN w:val="0"/>
        <w:adjustRightInd w:val="0"/>
        <w:spacing w:line="276" w:lineRule="auto"/>
        <w:rPr>
          <w:rFonts w:ascii="Arial" w:hAnsi="Arial" w:cs="Arial"/>
          <w:sz w:val="20"/>
          <w:szCs w:val="20"/>
        </w:rPr>
      </w:pPr>
      <w:r w:rsidRPr="00BA1B7B">
        <w:rPr>
          <w:rFonts w:ascii="Arial" w:hAnsi="Arial" w:cs="Arial"/>
          <w:b/>
          <w:bCs/>
          <w:sz w:val="20"/>
          <w:szCs w:val="20"/>
        </w:rPr>
        <w:t xml:space="preserve">Primary qualification within the last 5 years </w:t>
      </w:r>
      <w:r w:rsidRPr="00BA1B7B">
        <w:rPr>
          <w:rFonts w:ascii="Arial" w:hAnsi="Arial" w:cs="Arial"/>
          <w:sz w:val="20"/>
          <w:szCs w:val="20"/>
        </w:rPr>
        <w:t xml:space="preserve">(recertification required) of one of: </w:t>
      </w:r>
    </w:p>
    <w:p w14:paraId="79CD2595" w14:textId="77777777" w:rsidR="00352B6D" w:rsidRPr="00BA1B7B" w:rsidRDefault="00352B6D" w:rsidP="00352B6D">
      <w:pPr>
        <w:pStyle w:val="ListParagraph"/>
        <w:autoSpaceDE w:val="0"/>
        <w:autoSpaceDN w:val="0"/>
        <w:adjustRightInd w:val="0"/>
        <w:spacing w:line="276" w:lineRule="auto"/>
        <w:rPr>
          <w:rFonts w:ascii="Arial" w:hAnsi="Arial" w:cs="Arial"/>
          <w:sz w:val="20"/>
          <w:szCs w:val="20"/>
        </w:rPr>
      </w:pPr>
      <w:r w:rsidRPr="00BA1B7B">
        <w:rPr>
          <w:rFonts w:ascii="Arial" w:hAnsi="Arial" w:cs="Arial"/>
          <w:sz w:val="20"/>
          <w:szCs w:val="20"/>
        </w:rPr>
        <w:t xml:space="preserve">Diploma of the Royal Australian and New Zealand College of Obstetrics and Gynaecology (DRANZCOG) </w:t>
      </w:r>
    </w:p>
    <w:p w14:paraId="4E27B7D8" w14:textId="77777777" w:rsidR="00352B6D" w:rsidRPr="00BA1B7B" w:rsidRDefault="00352B6D" w:rsidP="00352B6D">
      <w:pPr>
        <w:pStyle w:val="ListParagraph"/>
        <w:autoSpaceDE w:val="0"/>
        <w:autoSpaceDN w:val="0"/>
        <w:adjustRightInd w:val="0"/>
        <w:spacing w:line="276" w:lineRule="auto"/>
        <w:rPr>
          <w:rFonts w:ascii="Arial" w:hAnsi="Arial" w:cs="Arial"/>
          <w:sz w:val="20"/>
          <w:szCs w:val="20"/>
        </w:rPr>
      </w:pPr>
      <w:r w:rsidRPr="00BA1B7B">
        <w:rPr>
          <w:rFonts w:ascii="Arial" w:hAnsi="Arial" w:cs="Arial"/>
          <w:sz w:val="20"/>
          <w:szCs w:val="20"/>
        </w:rPr>
        <w:t xml:space="preserve">Or Certificate in Women’s Health from RANZCOG </w:t>
      </w:r>
    </w:p>
    <w:p w14:paraId="1F02EED9" w14:textId="77777777" w:rsidR="001242AB" w:rsidRPr="00BA1B7B" w:rsidRDefault="001242AB" w:rsidP="004A22FD">
      <w:pPr>
        <w:pStyle w:val="ListParagraph"/>
        <w:numPr>
          <w:ilvl w:val="0"/>
          <w:numId w:val="63"/>
        </w:numPr>
        <w:autoSpaceDE w:val="0"/>
        <w:autoSpaceDN w:val="0"/>
        <w:adjustRightInd w:val="0"/>
        <w:spacing w:line="276" w:lineRule="auto"/>
        <w:rPr>
          <w:rFonts w:ascii="Arial" w:hAnsi="Arial" w:cs="Arial"/>
          <w:sz w:val="20"/>
          <w:szCs w:val="20"/>
        </w:rPr>
      </w:pPr>
      <w:r w:rsidRPr="00BA1B7B">
        <w:rPr>
          <w:rFonts w:ascii="Arial" w:hAnsi="Arial" w:cs="Arial"/>
          <w:b/>
          <w:bCs/>
          <w:sz w:val="20"/>
          <w:szCs w:val="20"/>
        </w:rPr>
        <w:t xml:space="preserve">Primary qualification more than 5 years ago of one of: </w:t>
      </w:r>
    </w:p>
    <w:p w14:paraId="4E91CE74" w14:textId="77777777" w:rsidR="001242AB" w:rsidRPr="00BA1B7B" w:rsidRDefault="001242AB" w:rsidP="00352B6D">
      <w:pPr>
        <w:pStyle w:val="ListParagraph"/>
        <w:autoSpaceDE w:val="0"/>
        <w:autoSpaceDN w:val="0"/>
        <w:adjustRightInd w:val="0"/>
        <w:spacing w:line="276" w:lineRule="auto"/>
        <w:rPr>
          <w:rFonts w:ascii="Arial" w:hAnsi="Arial" w:cs="Arial"/>
          <w:sz w:val="20"/>
          <w:szCs w:val="20"/>
        </w:rPr>
      </w:pPr>
      <w:r w:rsidRPr="00BA1B7B">
        <w:rPr>
          <w:rFonts w:ascii="Arial" w:hAnsi="Arial" w:cs="Arial"/>
          <w:sz w:val="20"/>
          <w:szCs w:val="20"/>
        </w:rPr>
        <w:t xml:space="preserve">Diploma of the Royal Australian and New Zealand College of Obstetrics and Gynaecology (DRANZCOG), </w:t>
      </w:r>
    </w:p>
    <w:p w14:paraId="4AAA06E4" w14:textId="77777777" w:rsidR="001242AB" w:rsidRPr="00BA1B7B" w:rsidRDefault="001242AB" w:rsidP="00352B6D">
      <w:pPr>
        <w:pStyle w:val="ListParagraph"/>
        <w:autoSpaceDE w:val="0"/>
        <w:autoSpaceDN w:val="0"/>
        <w:adjustRightInd w:val="0"/>
        <w:spacing w:line="276" w:lineRule="auto"/>
        <w:rPr>
          <w:rFonts w:ascii="Arial" w:hAnsi="Arial" w:cs="Arial"/>
          <w:sz w:val="20"/>
          <w:szCs w:val="20"/>
        </w:rPr>
      </w:pPr>
      <w:r w:rsidRPr="00BA1B7B">
        <w:rPr>
          <w:rFonts w:ascii="Arial" w:hAnsi="Arial" w:cs="Arial"/>
          <w:sz w:val="20"/>
          <w:szCs w:val="20"/>
        </w:rPr>
        <w:t xml:space="preserve">Diploma Obstetrics Royal Australian College of Obstetrics and Gynaecology (RACOG) </w:t>
      </w:r>
    </w:p>
    <w:p w14:paraId="77D72EFE" w14:textId="77777777" w:rsidR="001242AB" w:rsidRPr="00BA1B7B" w:rsidRDefault="001242AB" w:rsidP="00352B6D">
      <w:pPr>
        <w:pStyle w:val="ListParagraph"/>
        <w:autoSpaceDE w:val="0"/>
        <w:autoSpaceDN w:val="0"/>
        <w:adjustRightInd w:val="0"/>
        <w:spacing w:line="276" w:lineRule="auto"/>
        <w:rPr>
          <w:rFonts w:ascii="Arial" w:hAnsi="Arial" w:cs="Arial"/>
          <w:sz w:val="20"/>
          <w:szCs w:val="20"/>
        </w:rPr>
      </w:pPr>
      <w:r w:rsidRPr="00BA1B7B">
        <w:rPr>
          <w:rFonts w:ascii="Arial" w:hAnsi="Arial" w:cs="Arial"/>
          <w:sz w:val="20"/>
          <w:szCs w:val="20"/>
        </w:rPr>
        <w:t xml:space="preserve">Or Certificate in Women’s Health from RANZCOG </w:t>
      </w:r>
    </w:p>
    <w:p w14:paraId="1532C222" w14:textId="2CCB83A8" w:rsidR="001242AB" w:rsidRPr="00BA1B7B" w:rsidRDefault="001242AB" w:rsidP="004A22FD">
      <w:pPr>
        <w:pStyle w:val="ListParagraph"/>
        <w:numPr>
          <w:ilvl w:val="0"/>
          <w:numId w:val="63"/>
        </w:numPr>
        <w:autoSpaceDE w:val="0"/>
        <w:autoSpaceDN w:val="0"/>
        <w:adjustRightInd w:val="0"/>
        <w:spacing w:line="276" w:lineRule="auto"/>
        <w:rPr>
          <w:rFonts w:ascii="Arial" w:hAnsi="Arial" w:cs="Arial"/>
          <w:sz w:val="20"/>
          <w:szCs w:val="20"/>
        </w:rPr>
      </w:pPr>
      <w:r w:rsidRPr="00BA1B7B">
        <w:rPr>
          <w:rFonts w:ascii="Arial" w:hAnsi="Arial" w:cs="Arial"/>
          <w:b/>
          <w:bCs/>
          <w:sz w:val="20"/>
          <w:szCs w:val="20"/>
        </w:rPr>
        <w:t xml:space="preserve">Plus, </w:t>
      </w:r>
      <w:r w:rsidRPr="00BA1B7B">
        <w:rPr>
          <w:rFonts w:ascii="Arial" w:hAnsi="Arial" w:cs="Arial"/>
          <w:sz w:val="20"/>
          <w:szCs w:val="20"/>
        </w:rPr>
        <w:t xml:space="preserve">significant recent experience as an antenatal care provider </w:t>
      </w:r>
    </w:p>
    <w:p w14:paraId="574E4F91" w14:textId="45793DA0" w:rsidR="00DC5066" w:rsidRPr="00BA1B7B" w:rsidRDefault="00DC5066" w:rsidP="004A22FD">
      <w:pPr>
        <w:pStyle w:val="ListParagraph"/>
        <w:numPr>
          <w:ilvl w:val="0"/>
          <w:numId w:val="63"/>
        </w:numPr>
        <w:autoSpaceDE w:val="0"/>
        <w:autoSpaceDN w:val="0"/>
        <w:adjustRightInd w:val="0"/>
        <w:spacing w:line="276" w:lineRule="auto"/>
        <w:rPr>
          <w:rFonts w:ascii="Arial" w:hAnsi="Arial" w:cs="Arial"/>
          <w:sz w:val="20"/>
          <w:szCs w:val="20"/>
        </w:rPr>
      </w:pPr>
      <w:r w:rsidRPr="00BA1B7B">
        <w:rPr>
          <w:rFonts w:ascii="Arial" w:hAnsi="Arial" w:cs="Arial"/>
          <w:b/>
          <w:bCs/>
          <w:sz w:val="20"/>
          <w:szCs w:val="20"/>
        </w:rPr>
        <w:t xml:space="preserve">Significant Experience as an Antenatal Care Provider. </w:t>
      </w:r>
    </w:p>
    <w:p w14:paraId="724F56DF" w14:textId="77777777" w:rsidR="00DC5066" w:rsidRPr="00BA1B7B" w:rsidRDefault="00DC5066" w:rsidP="00352B6D">
      <w:pPr>
        <w:pStyle w:val="ListParagraph"/>
        <w:autoSpaceDE w:val="0"/>
        <w:autoSpaceDN w:val="0"/>
        <w:adjustRightInd w:val="0"/>
        <w:spacing w:line="276" w:lineRule="auto"/>
        <w:rPr>
          <w:rFonts w:ascii="Arial" w:hAnsi="Arial" w:cs="Arial"/>
          <w:sz w:val="20"/>
          <w:szCs w:val="20"/>
        </w:rPr>
      </w:pPr>
      <w:r w:rsidRPr="00BA1B7B">
        <w:rPr>
          <w:rFonts w:ascii="Arial" w:hAnsi="Arial" w:cs="Arial"/>
          <w:sz w:val="20"/>
          <w:szCs w:val="20"/>
        </w:rPr>
        <w:t xml:space="preserve">Applications will be considered for GPs who can demonstrate either relevant experience, accredited shared care with another Victorian health service or post graduate qualifications as well as professional development. You will be requested to provide relevant documentation, for example, a CV with dates and contact names and numbers, evidence of attendance at hospital antenatal clinics or evidence of other training. </w:t>
      </w:r>
    </w:p>
    <w:p w14:paraId="68C4AA1C" w14:textId="77777777" w:rsidR="00DC5066" w:rsidRPr="00BA1B7B" w:rsidRDefault="00DC5066" w:rsidP="00352B6D">
      <w:pPr>
        <w:pStyle w:val="ListParagraph"/>
        <w:autoSpaceDE w:val="0"/>
        <w:autoSpaceDN w:val="0"/>
        <w:adjustRightInd w:val="0"/>
        <w:spacing w:line="276" w:lineRule="auto"/>
        <w:rPr>
          <w:rFonts w:ascii="Arial" w:hAnsi="Arial" w:cs="Arial"/>
          <w:sz w:val="20"/>
          <w:szCs w:val="20"/>
        </w:rPr>
      </w:pPr>
      <w:r w:rsidRPr="00BA1B7B">
        <w:rPr>
          <w:rFonts w:ascii="Arial" w:hAnsi="Arial" w:cs="Arial"/>
          <w:sz w:val="20"/>
          <w:szCs w:val="20"/>
        </w:rPr>
        <w:t xml:space="preserve">Education in areas of </w:t>
      </w:r>
      <w:r w:rsidRPr="00BA1B7B">
        <w:rPr>
          <w:rFonts w:ascii="Arial" w:hAnsi="Arial" w:cs="Arial"/>
          <w:b/>
          <w:bCs/>
          <w:sz w:val="20"/>
          <w:szCs w:val="20"/>
        </w:rPr>
        <w:t xml:space="preserve">direct relevance </w:t>
      </w:r>
      <w:r w:rsidRPr="00BA1B7B">
        <w:rPr>
          <w:rFonts w:ascii="Arial" w:hAnsi="Arial" w:cs="Arial"/>
          <w:sz w:val="20"/>
          <w:szCs w:val="20"/>
        </w:rPr>
        <w:t xml:space="preserve">to pre-conception, pregnancy, Post-natal and neonatal care will be considered. </w:t>
      </w:r>
    </w:p>
    <w:p w14:paraId="5BBEF32D" w14:textId="77777777" w:rsidR="00DC5066" w:rsidRPr="00BA1B7B" w:rsidRDefault="00DC5066" w:rsidP="004A22FD">
      <w:pPr>
        <w:pStyle w:val="ListParagraph"/>
        <w:numPr>
          <w:ilvl w:val="0"/>
          <w:numId w:val="63"/>
        </w:numPr>
        <w:autoSpaceDE w:val="0"/>
        <w:autoSpaceDN w:val="0"/>
        <w:adjustRightInd w:val="0"/>
        <w:spacing w:line="276" w:lineRule="auto"/>
        <w:rPr>
          <w:rFonts w:ascii="Arial" w:hAnsi="Arial" w:cs="Arial"/>
          <w:sz w:val="20"/>
          <w:szCs w:val="20"/>
        </w:rPr>
      </w:pPr>
      <w:r w:rsidRPr="00BA1B7B">
        <w:rPr>
          <w:rFonts w:ascii="Arial" w:hAnsi="Arial" w:cs="Arial"/>
          <w:b/>
          <w:bCs/>
          <w:sz w:val="20"/>
          <w:szCs w:val="20"/>
        </w:rPr>
        <w:t xml:space="preserve">Plus </w:t>
      </w:r>
    </w:p>
    <w:p w14:paraId="4783DA9E" w14:textId="58F97B73" w:rsidR="00DC5066" w:rsidRPr="00BA1B7B" w:rsidRDefault="00DC5066" w:rsidP="004A22FD">
      <w:pPr>
        <w:pStyle w:val="ListParagraph"/>
        <w:numPr>
          <w:ilvl w:val="0"/>
          <w:numId w:val="64"/>
        </w:numPr>
        <w:autoSpaceDE w:val="0"/>
        <w:autoSpaceDN w:val="0"/>
        <w:adjustRightInd w:val="0"/>
        <w:spacing w:after="66" w:line="276" w:lineRule="auto"/>
        <w:rPr>
          <w:rFonts w:ascii="Arial" w:hAnsi="Arial" w:cs="Arial"/>
          <w:sz w:val="20"/>
          <w:szCs w:val="20"/>
        </w:rPr>
      </w:pPr>
      <w:r w:rsidRPr="00BA1B7B">
        <w:rPr>
          <w:rFonts w:ascii="Arial" w:hAnsi="Arial" w:cs="Arial"/>
          <w:bCs/>
          <w:sz w:val="20"/>
          <w:szCs w:val="20"/>
        </w:rPr>
        <w:t xml:space="preserve">Working at an Accredited General Practice </w:t>
      </w:r>
    </w:p>
    <w:p w14:paraId="2866AE00" w14:textId="7D920BF2" w:rsidR="00DC5066" w:rsidRPr="00BA1B7B" w:rsidRDefault="00DC5066" w:rsidP="004A22FD">
      <w:pPr>
        <w:pStyle w:val="ListParagraph"/>
        <w:numPr>
          <w:ilvl w:val="0"/>
          <w:numId w:val="64"/>
        </w:numPr>
        <w:autoSpaceDE w:val="0"/>
        <w:autoSpaceDN w:val="0"/>
        <w:adjustRightInd w:val="0"/>
        <w:spacing w:line="276" w:lineRule="auto"/>
        <w:rPr>
          <w:rFonts w:ascii="Arial" w:hAnsi="Arial" w:cs="Arial"/>
          <w:bCs/>
          <w:sz w:val="20"/>
          <w:szCs w:val="20"/>
        </w:rPr>
      </w:pPr>
      <w:r w:rsidRPr="00BA1B7B">
        <w:rPr>
          <w:rFonts w:ascii="Arial" w:hAnsi="Arial" w:cs="Arial"/>
          <w:bCs/>
          <w:sz w:val="20"/>
          <w:szCs w:val="20"/>
        </w:rPr>
        <w:t xml:space="preserve">Current Working with children’s check or police check </w:t>
      </w:r>
    </w:p>
    <w:p w14:paraId="062DFE3C" w14:textId="77777777" w:rsidR="00DC5066" w:rsidRPr="00BA1B7B" w:rsidRDefault="00DC5066" w:rsidP="00DC5066">
      <w:pPr>
        <w:autoSpaceDE w:val="0"/>
        <w:autoSpaceDN w:val="0"/>
        <w:adjustRightInd w:val="0"/>
        <w:rPr>
          <w:rFonts w:ascii="Arial" w:hAnsi="Arial" w:cs="Arial"/>
          <w:sz w:val="20"/>
          <w:szCs w:val="20"/>
        </w:rPr>
      </w:pPr>
    </w:p>
    <w:p w14:paraId="2D7EFB2C" w14:textId="1C869C4B" w:rsidR="00DC5066" w:rsidRPr="00BA1B7B" w:rsidRDefault="00DC5066" w:rsidP="00DC5066">
      <w:pPr>
        <w:spacing w:line="276" w:lineRule="auto"/>
        <w:jc w:val="center"/>
        <w:rPr>
          <w:rFonts w:ascii="Arial" w:hAnsi="Arial" w:cs="Arial"/>
          <w:b/>
          <w:bCs/>
          <w:sz w:val="20"/>
          <w:szCs w:val="20"/>
        </w:rPr>
      </w:pPr>
      <w:r w:rsidRPr="00BA1B7B">
        <w:rPr>
          <w:rFonts w:ascii="Arial" w:hAnsi="Arial" w:cs="Arial"/>
          <w:b/>
          <w:bCs/>
          <w:sz w:val="20"/>
          <w:szCs w:val="20"/>
        </w:rPr>
        <w:t xml:space="preserve">If you would like to apply for GP Shared care email Eastern Health GP liaison Officer on </w:t>
      </w:r>
      <w:hyperlink r:id="rId17" w:history="1">
        <w:r w:rsidR="004A26F1" w:rsidRPr="00BA1B7B">
          <w:rPr>
            <w:rFonts w:ascii="Arial" w:eastAsia="Calibri" w:hAnsi="Arial" w:cs="Arial"/>
            <w:bCs/>
            <w:sz w:val="20"/>
            <w:szCs w:val="20"/>
            <w:u w:val="single"/>
          </w:rPr>
          <w:t>gpliaisonofficer@easternhealth.org.au</w:t>
        </w:r>
      </w:hyperlink>
    </w:p>
    <w:p w14:paraId="7B768360" w14:textId="77777777" w:rsidR="00DC5066" w:rsidRPr="00BA1B7B" w:rsidRDefault="00DC5066" w:rsidP="00DC5066">
      <w:pPr>
        <w:spacing w:line="276" w:lineRule="auto"/>
        <w:jc w:val="center"/>
        <w:rPr>
          <w:rFonts w:ascii="Arial" w:hAnsi="Arial" w:cs="Arial"/>
          <w:b/>
          <w:bCs/>
          <w:sz w:val="20"/>
          <w:szCs w:val="20"/>
        </w:rPr>
      </w:pPr>
      <w:r w:rsidRPr="00BA1B7B">
        <w:rPr>
          <w:rFonts w:ascii="Arial" w:hAnsi="Arial" w:cs="Arial"/>
          <w:b/>
          <w:bCs/>
          <w:sz w:val="20"/>
          <w:szCs w:val="20"/>
        </w:rPr>
        <w:t>NB All applications are processed on-line.</w:t>
      </w:r>
    </w:p>
    <w:p w14:paraId="0C9AE327" w14:textId="77777777" w:rsidR="00DC5066" w:rsidRPr="00BA1B7B" w:rsidRDefault="00DC5066" w:rsidP="00DC5066">
      <w:pPr>
        <w:spacing w:line="276" w:lineRule="auto"/>
        <w:rPr>
          <w:rFonts w:ascii="Arial" w:hAnsi="Arial" w:cs="Arial"/>
          <w:b/>
          <w:bCs/>
          <w:sz w:val="20"/>
          <w:szCs w:val="20"/>
          <w:highlight w:val="yellow"/>
        </w:rPr>
      </w:pPr>
    </w:p>
    <w:p w14:paraId="2D090A96" w14:textId="17DFA07C" w:rsidR="00DC5066" w:rsidRPr="00BA1B7B" w:rsidRDefault="00DC5066" w:rsidP="004A22FD">
      <w:pPr>
        <w:pStyle w:val="ListParagraph"/>
        <w:numPr>
          <w:ilvl w:val="1"/>
          <w:numId w:val="65"/>
        </w:numPr>
        <w:shd w:val="clear" w:color="auto" w:fill="FFFFFF"/>
        <w:spacing w:before="100" w:beforeAutospacing="1" w:after="100" w:afterAutospacing="1"/>
        <w:outlineLvl w:val="1"/>
        <w:rPr>
          <w:rFonts w:ascii="Arial" w:eastAsia="Times New Roman" w:hAnsi="Arial" w:cs="Arial"/>
          <w:b/>
          <w:bCs/>
          <w:sz w:val="20"/>
          <w:szCs w:val="20"/>
          <w:lang w:eastAsia="en-AU"/>
        </w:rPr>
      </w:pPr>
      <w:bookmarkStart w:id="9" w:name="_Toc120614275"/>
      <w:r w:rsidRPr="00BA1B7B">
        <w:rPr>
          <w:rFonts w:ascii="Arial" w:eastAsia="Times New Roman" w:hAnsi="Arial" w:cs="Arial"/>
          <w:b/>
          <w:bCs/>
          <w:sz w:val="20"/>
          <w:szCs w:val="20"/>
          <w:lang w:eastAsia="en-AU"/>
        </w:rPr>
        <w:lastRenderedPageBreak/>
        <w:t>Reaccreditation as GP shared care provider</w:t>
      </w:r>
      <w:bookmarkEnd w:id="9"/>
    </w:p>
    <w:p w14:paraId="4EE7F7E7" w14:textId="77777777" w:rsidR="00DC5066" w:rsidRPr="00BA1B7B" w:rsidRDefault="00DC5066" w:rsidP="00DC5066">
      <w:pPr>
        <w:spacing w:line="276" w:lineRule="auto"/>
        <w:rPr>
          <w:rFonts w:ascii="Arial" w:hAnsi="Arial" w:cs="Arial"/>
          <w:bCs/>
          <w:sz w:val="20"/>
          <w:szCs w:val="20"/>
        </w:rPr>
      </w:pPr>
      <w:r w:rsidRPr="00BA1B7B">
        <w:rPr>
          <w:rFonts w:ascii="Arial" w:hAnsi="Arial" w:cs="Arial"/>
          <w:bCs/>
          <w:sz w:val="20"/>
          <w:szCs w:val="20"/>
        </w:rPr>
        <w:t>All GP shared care providers will have the opportunity to apply for reaccreditation every 3 years. This is in line with the RACGP triennium (2020-2022). An email will be sent to all GPs in Sept 2022 outlining the process for reaccreditation. As of writing this document, current requirements as:</w:t>
      </w:r>
    </w:p>
    <w:p w14:paraId="341E49D6" w14:textId="77777777" w:rsidR="00DC5066" w:rsidRPr="00BA1B7B" w:rsidRDefault="00DC5066" w:rsidP="004A22FD">
      <w:pPr>
        <w:pStyle w:val="ListParagraph"/>
        <w:numPr>
          <w:ilvl w:val="0"/>
          <w:numId w:val="2"/>
        </w:numPr>
        <w:spacing w:line="276" w:lineRule="auto"/>
        <w:rPr>
          <w:rFonts w:ascii="Arial" w:hAnsi="Arial" w:cs="Arial"/>
          <w:bCs/>
          <w:sz w:val="20"/>
          <w:szCs w:val="20"/>
        </w:rPr>
      </w:pPr>
      <w:r w:rsidRPr="00BA1B7B">
        <w:rPr>
          <w:rFonts w:ascii="Arial" w:hAnsi="Arial" w:cs="Arial"/>
          <w:bCs/>
          <w:sz w:val="20"/>
          <w:szCs w:val="20"/>
        </w:rPr>
        <w:t>Medical indemnity</w:t>
      </w:r>
    </w:p>
    <w:p w14:paraId="09036652" w14:textId="77777777" w:rsidR="00DC5066" w:rsidRPr="00BA1B7B" w:rsidRDefault="00DC5066" w:rsidP="004A22FD">
      <w:pPr>
        <w:pStyle w:val="ListParagraph"/>
        <w:numPr>
          <w:ilvl w:val="0"/>
          <w:numId w:val="2"/>
        </w:numPr>
        <w:spacing w:line="276" w:lineRule="auto"/>
        <w:rPr>
          <w:rFonts w:ascii="Arial" w:hAnsi="Arial" w:cs="Arial"/>
          <w:bCs/>
          <w:sz w:val="20"/>
          <w:szCs w:val="20"/>
        </w:rPr>
      </w:pPr>
      <w:r w:rsidRPr="00BA1B7B">
        <w:rPr>
          <w:rFonts w:ascii="Arial" w:hAnsi="Arial" w:cs="Arial"/>
          <w:bCs/>
          <w:sz w:val="20"/>
          <w:szCs w:val="20"/>
        </w:rPr>
        <w:t>Unrestricted medical registration</w:t>
      </w:r>
    </w:p>
    <w:p w14:paraId="62790784" w14:textId="77777777" w:rsidR="00DC5066" w:rsidRPr="00BA1B7B" w:rsidRDefault="00DC5066" w:rsidP="004A22FD">
      <w:pPr>
        <w:pStyle w:val="ListParagraph"/>
        <w:numPr>
          <w:ilvl w:val="0"/>
          <w:numId w:val="2"/>
        </w:numPr>
        <w:spacing w:line="276" w:lineRule="auto"/>
        <w:rPr>
          <w:rFonts w:ascii="Arial" w:hAnsi="Arial" w:cs="Arial"/>
          <w:bCs/>
          <w:sz w:val="20"/>
          <w:szCs w:val="20"/>
        </w:rPr>
      </w:pPr>
      <w:r w:rsidRPr="00BA1B7B">
        <w:rPr>
          <w:rFonts w:ascii="Arial" w:hAnsi="Arial" w:cs="Arial"/>
          <w:bCs/>
          <w:sz w:val="20"/>
          <w:szCs w:val="20"/>
        </w:rPr>
        <w:t>Ongoing continuing professional development related to pre-pregnancy, antenatal and post pregnancy care</w:t>
      </w:r>
    </w:p>
    <w:p w14:paraId="582247D7" w14:textId="77777777" w:rsidR="00DC5066" w:rsidRPr="00BA1B7B" w:rsidRDefault="00DC5066" w:rsidP="004A22FD">
      <w:pPr>
        <w:pStyle w:val="ListParagraph"/>
        <w:numPr>
          <w:ilvl w:val="0"/>
          <w:numId w:val="2"/>
        </w:numPr>
        <w:spacing w:line="276" w:lineRule="auto"/>
        <w:rPr>
          <w:rFonts w:ascii="Arial" w:hAnsi="Arial" w:cs="Arial"/>
          <w:bCs/>
          <w:sz w:val="20"/>
          <w:szCs w:val="20"/>
        </w:rPr>
      </w:pPr>
      <w:r w:rsidRPr="00BA1B7B">
        <w:rPr>
          <w:rFonts w:ascii="Arial" w:hAnsi="Arial" w:cs="Arial"/>
          <w:bCs/>
          <w:sz w:val="20"/>
          <w:szCs w:val="20"/>
        </w:rPr>
        <w:t>Agreement to undertakings as per shared care application form</w:t>
      </w:r>
    </w:p>
    <w:p w14:paraId="362AEABB" w14:textId="77777777" w:rsidR="00DC5066" w:rsidRPr="00BA1B7B" w:rsidRDefault="00DC5066" w:rsidP="00DC5066">
      <w:pPr>
        <w:rPr>
          <w:rFonts w:ascii="Arial" w:hAnsi="Arial" w:cs="Arial"/>
          <w:b/>
          <w:bCs/>
          <w:sz w:val="20"/>
          <w:szCs w:val="20"/>
          <w:highlight w:val="yellow"/>
        </w:rPr>
      </w:pPr>
    </w:p>
    <w:p w14:paraId="277BE9CB" w14:textId="2053D24B" w:rsidR="00DC5066" w:rsidRPr="00BA1B7B" w:rsidRDefault="00DC5066" w:rsidP="004A22FD">
      <w:pPr>
        <w:pStyle w:val="ListParagraph"/>
        <w:numPr>
          <w:ilvl w:val="1"/>
          <w:numId w:val="65"/>
        </w:numPr>
        <w:shd w:val="clear" w:color="auto" w:fill="FFFFFF"/>
        <w:spacing w:before="100" w:beforeAutospacing="1" w:after="100" w:afterAutospacing="1"/>
        <w:outlineLvl w:val="1"/>
        <w:rPr>
          <w:rFonts w:ascii="Arial" w:eastAsia="Times New Roman" w:hAnsi="Arial" w:cs="Arial"/>
          <w:b/>
          <w:bCs/>
          <w:sz w:val="20"/>
          <w:szCs w:val="20"/>
          <w:lang w:eastAsia="en-AU"/>
        </w:rPr>
      </w:pPr>
      <w:bookmarkStart w:id="10" w:name="_Toc120614276"/>
      <w:r w:rsidRPr="00BA1B7B">
        <w:rPr>
          <w:rFonts w:ascii="Arial" w:eastAsia="Times New Roman" w:hAnsi="Arial" w:cs="Arial"/>
          <w:b/>
          <w:bCs/>
          <w:sz w:val="20"/>
          <w:szCs w:val="20"/>
          <w:lang w:eastAsia="en-AU"/>
        </w:rPr>
        <w:t>Responsibilities of the GP shared care</w:t>
      </w:r>
      <w:bookmarkEnd w:id="10"/>
      <w:r w:rsidRPr="00BA1B7B">
        <w:rPr>
          <w:rFonts w:ascii="Arial" w:eastAsia="Times New Roman" w:hAnsi="Arial" w:cs="Arial"/>
          <w:b/>
          <w:bCs/>
          <w:sz w:val="20"/>
          <w:szCs w:val="20"/>
          <w:lang w:eastAsia="en-AU"/>
        </w:rPr>
        <w:t xml:space="preserve"> </w:t>
      </w:r>
    </w:p>
    <w:p w14:paraId="5E05B757" w14:textId="77777777" w:rsidR="00352B6D" w:rsidRPr="00BA1B7B" w:rsidRDefault="00352B6D" w:rsidP="00DC5066">
      <w:pPr>
        <w:spacing w:line="276" w:lineRule="auto"/>
        <w:rPr>
          <w:rFonts w:ascii="Arial" w:hAnsi="Arial" w:cs="Arial"/>
          <w:b/>
          <w:bCs/>
          <w:sz w:val="20"/>
          <w:szCs w:val="20"/>
        </w:rPr>
      </w:pPr>
    </w:p>
    <w:p w14:paraId="33F041A3" w14:textId="3DA5A1FC" w:rsidR="00DC5066" w:rsidRPr="00BA1B7B" w:rsidRDefault="00DC5066" w:rsidP="004A22FD">
      <w:pPr>
        <w:pStyle w:val="ListParagraph"/>
        <w:numPr>
          <w:ilvl w:val="0"/>
          <w:numId w:val="1"/>
        </w:numPr>
        <w:spacing w:line="276" w:lineRule="auto"/>
        <w:rPr>
          <w:rFonts w:ascii="Arial" w:hAnsi="Arial" w:cs="Arial"/>
          <w:bCs/>
          <w:sz w:val="20"/>
          <w:szCs w:val="20"/>
        </w:rPr>
      </w:pPr>
      <w:r w:rsidRPr="00BA1B7B">
        <w:rPr>
          <w:rFonts w:ascii="Arial" w:hAnsi="Arial" w:cs="Arial"/>
          <w:bCs/>
          <w:sz w:val="20"/>
          <w:szCs w:val="20"/>
        </w:rPr>
        <w:t>To inform relevant ante natal clinic maternity unit manager  if the woman does not attend her scheduled appointment or has a poor attendance for antenatal care</w:t>
      </w:r>
    </w:p>
    <w:p w14:paraId="2312DA2A" w14:textId="77777777" w:rsidR="00DC5066" w:rsidRPr="00BA1B7B" w:rsidRDefault="00DC5066" w:rsidP="004A22FD">
      <w:pPr>
        <w:pStyle w:val="ListParagraph"/>
        <w:numPr>
          <w:ilvl w:val="0"/>
          <w:numId w:val="1"/>
        </w:numPr>
        <w:spacing w:line="276" w:lineRule="auto"/>
        <w:rPr>
          <w:rFonts w:ascii="Arial" w:hAnsi="Arial" w:cs="Arial"/>
          <w:bCs/>
          <w:sz w:val="20"/>
          <w:szCs w:val="20"/>
        </w:rPr>
      </w:pPr>
      <w:r w:rsidRPr="00BA1B7B">
        <w:rPr>
          <w:rFonts w:ascii="Arial" w:hAnsi="Arial" w:cs="Arial"/>
          <w:bCs/>
          <w:sz w:val="20"/>
          <w:szCs w:val="20"/>
        </w:rPr>
        <w:t>Escalate clinical concerns to Eastern Health</w:t>
      </w:r>
    </w:p>
    <w:p w14:paraId="25484FD5" w14:textId="77777777" w:rsidR="00DC5066" w:rsidRPr="00BA1B7B" w:rsidRDefault="00DC5066" w:rsidP="004A22FD">
      <w:pPr>
        <w:pStyle w:val="ListParagraph"/>
        <w:numPr>
          <w:ilvl w:val="0"/>
          <w:numId w:val="1"/>
        </w:numPr>
        <w:spacing w:line="276" w:lineRule="auto"/>
        <w:rPr>
          <w:rFonts w:ascii="Arial" w:hAnsi="Arial" w:cs="Arial"/>
          <w:bCs/>
          <w:sz w:val="20"/>
          <w:szCs w:val="20"/>
        </w:rPr>
      </w:pPr>
      <w:r w:rsidRPr="00BA1B7B">
        <w:rPr>
          <w:rFonts w:ascii="Arial" w:hAnsi="Arial" w:cs="Arial"/>
          <w:bCs/>
          <w:sz w:val="20"/>
          <w:szCs w:val="20"/>
        </w:rPr>
        <w:t>Comply with accreditation/ reaccreditation requirements</w:t>
      </w:r>
    </w:p>
    <w:p w14:paraId="622B584C" w14:textId="77777777" w:rsidR="00DC5066" w:rsidRPr="00BA1B7B" w:rsidRDefault="00DC5066" w:rsidP="004A22FD">
      <w:pPr>
        <w:pStyle w:val="ListParagraph"/>
        <w:numPr>
          <w:ilvl w:val="0"/>
          <w:numId w:val="1"/>
        </w:numPr>
        <w:spacing w:line="276" w:lineRule="auto"/>
        <w:rPr>
          <w:rFonts w:ascii="Arial" w:hAnsi="Arial" w:cs="Arial"/>
          <w:bCs/>
          <w:sz w:val="20"/>
          <w:szCs w:val="20"/>
        </w:rPr>
      </w:pPr>
      <w:r w:rsidRPr="00BA1B7B">
        <w:rPr>
          <w:rFonts w:ascii="Arial" w:hAnsi="Arial" w:cs="Arial"/>
          <w:bCs/>
          <w:sz w:val="20"/>
          <w:szCs w:val="20"/>
        </w:rPr>
        <w:t>Read and follow these guidelines</w:t>
      </w:r>
    </w:p>
    <w:p w14:paraId="152582E4" w14:textId="56760882" w:rsidR="007A499C" w:rsidRPr="00BA1B7B" w:rsidRDefault="00DC5066" w:rsidP="007A499C">
      <w:pPr>
        <w:pStyle w:val="ListParagraph"/>
        <w:numPr>
          <w:ilvl w:val="0"/>
          <w:numId w:val="1"/>
        </w:numPr>
        <w:spacing w:line="276" w:lineRule="auto"/>
        <w:rPr>
          <w:rFonts w:ascii="Arial" w:hAnsi="Arial" w:cs="Arial"/>
          <w:bCs/>
          <w:sz w:val="20"/>
          <w:szCs w:val="20"/>
        </w:rPr>
      </w:pPr>
      <w:r w:rsidRPr="00BA1B7B">
        <w:rPr>
          <w:rFonts w:ascii="Arial" w:hAnsi="Arial" w:cs="Arial"/>
          <w:bCs/>
          <w:sz w:val="20"/>
          <w:szCs w:val="20"/>
        </w:rPr>
        <w:t xml:space="preserve">Notify Eastern Health of a change in clinical address or cessation of clinical practice (to </w:t>
      </w:r>
      <w:hyperlink r:id="rId18" w:history="1">
        <w:r w:rsidR="007A499C" w:rsidRPr="00BA1B7B">
          <w:rPr>
            <w:rStyle w:val="Hyperlink"/>
            <w:rFonts w:ascii="Arial" w:hAnsi="Arial" w:cs="Arial"/>
            <w:bCs/>
            <w:color w:val="auto"/>
            <w:sz w:val="20"/>
            <w:szCs w:val="20"/>
          </w:rPr>
          <w:t>Penny.gaskell@easternhealth.org.au</w:t>
        </w:r>
      </w:hyperlink>
      <w:r w:rsidRPr="00BA1B7B">
        <w:rPr>
          <w:rFonts w:ascii="Arial" w:hAnsi="Arial" w:cs="Arial"/>
          <w:bCs/>
          <w:sz w:val="20"/>
          <w:szCs w:val="20"/>
        </w:rPr>
        <w:t>)</w:t>
      </w:r>
    </w:p>
    <w:p w14:paraId="34A90DEA" w14:textId="77777777" w:rsidR="007A499C" w:rsidRPr="00BA1B7B" w:rsidRDefault="007A499C" w:rsidP="007A499C">
      <w:pPr>
        <w:pStyle w:val="ListParagraph"/>
        <w:spacing w:line="276" w:lineRule="auto"/>
        <w:rPr>
          <w:rFonts w:ascii="Arial" w:hAnsi="Arial" w:cs="Arial"/>
          <w:bCs/>
          <w:sz w:val="20"/>
          <w:szCs w:val="20"/>
        </w:rPr>
      </w:pPr>
    </w:p>
    <w:p w14:paraId="701CDE50" w14:textId="1F893CCC" w:rsidR="00DC5066" w:rsidRPr="005F1FD7" w:rsidRDefault="00074F2F" w:rsidP="005F1FD7">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11" w:name="_Toc120614277"/>
      <w:r w:rsidRPr="00BA1B7B">
        <w:rPr>
          <w:rFonts w:ascii="Arial" w:eastAsia="Times New Roman" w:hAnsi="Arial" w:cs="Arial"/>
          <w:b/>
          <w:bCs/>
          <w:sz w:val="20"/>
          <w:szCs w:val="20"/>
          <w:lang w:eastAsia="en-AU"/>
        </w:rPr>
        <w:t>3.0 Pre-Pregnancy C</w:t>
      </w:r>
      <w:r w:rsidR="00DC5066" w:rsidRPr="00BA1B7B">
        <w:rPr>
          <w:rFonts w:ascii="Arial" w:eastAsia="Times New Roman" w:hAnsi="Arial" w:cs="Arial"/>
          <w:b/>
          <w:bCs/>
          <w:sz w:val="20"/>
          <w:szCs w:val="20"/>
          <w:lang w:eastAsia="en-AU"/>
        </w:rPr>
        <w:t>are</w:t>
      </w:r>
      <w:bookmarkEnd w:id="11"/>
      <w:r w:rsidR="00DC5066" w:rsidRPr="00BA1B7B">
        <w:rPr>
          <w:rFonts w:ascii="Arial" w:eastAsia="Times New Roman" w:hAnsi="Arial" w:cs="Arial"/>
          <w:b/>
          <w:bCs/>
          <w:sz w:val="20"/>
          <w:szCs w:val="20"/>
          <w:lang w:eastAsia="en-AU"/>
        </w:rPr>
        <w:t xml:space="preserve"> </w:t>
      </w:r>
    </w:p>
    <w:p w14:paraId="1E89993A" w14:textId="77777777" w:rsidR="00DC5066" w:rsidRPr="00BA1B7B" w:rsidRDefault="00DC5066" w:rsidP="00DC5066">
      <w:pPr>
        <w:spacing w:line="276" w:lineRule="auto"/>
        <w:rPr>
          <w:rFonts w:ascii="Arial" w:hAnsi="Arial" w:cs="Arial"/>
          <w:sz w:val="20"/>
          <w:szCs w:val="20"/>
          <w:u w:val="single"/>
        </w:rPr>
      </w:pPr>
      <w:r w:rsidRPr="00BA1B7B">
        <w:rPr>
          <w:rFonts w:ascii="Arial" w:hAnsi="Arial" w:cs="Arial"/>
          <w:sz w:val="20"/>
          <w:szCs w:val="20"/>
        </w:rPr>
        <w:t>GPs are advised to review “</w:t>
      </w:r>
      <w:r w:rsidRPr="00BA1B7B">
        <w:rPr>
          <w:rFonts w:ascii="Arial" w:hAnsi="Arial" w:cs="Arial"/>
          <w:i/>
          <w:sz w:val="20"/>
          <w:szCs w:val="20"/>
        </w:rPr>
        <w:t xml:space="preserve">Guidelines for preventative activities in general practice” - </w:t>
      </w:r>
      <w:r w:rsidRPr="00BA1B7B">
        <w:rPr>
          <w:rFonts w:ascii="Arial" w:hAnsi="Arial" w:cs="Arial"/>
          <w:sz w:val="20"/>
          <w:szCs w:val="20"/>
        </w:rPr>
        <w:t>The Red Book; Chapter 1. Preventative activities prior to pregnancy available from:</w:t>
      </w:r>
      <w:r w:rsidRPr="00BA1B7B">
        <w:rPr>
          <w:rFonts w:ascii="Arial" w:hAnsi="Arial" w:cs="Arial"/>
          <w:i/>
          <w:sz w:val="20"/>
          <w:szCs w:val="20"/>
        </w:rPr>
        <w:t xml:space="preserve"> </w:t>
      </w:r>
      <w:hyperlink r:id="rId19" w:history="1">
        <w:r w:rsidRPr="00BA1B7B">
          <w:rPr>
            <w:rFonts w:ascii="Arial" w:hAnsi="Arial" w:cs="Arial"/>
            <w:sz w:val="20"/>
            <w:szCs w:val="20"/>
            <w:u w:val="single"/>
          </w:rPr>
          <w:t>https://www.racgp.org.au/clinical-resources/clinical-guidelines/key-racgp-guidelines/view-all-racgp-guidelines/red-book/preventive-activities-prior-to-pregnancy</w:t>
        </w:r>
      </w:hyperlink>
    </w:p>
    <w:p w14:paraId="1FC80AC8" w14:textId="77777777" w:rsidR="00DC5066" w:rsidRPr="00BA1B7B" w:rsidRDefault="00DC5066" w:rsidP="00DC5066">
      <w:pPr>
        <w:spacing w:line="276" w:lineRule="auto"/>
        <w:rPr>
          <w:rFonts w:ascii="Arial" w:hAnsi="Arial" w:cs="Arial"/>
          <w:sz w:val="20"/>
          <w:szCs w:val="20"/>
          <w:u w:val="single"/>
        </w:rPr>
      </w:pPr>
    </w:p>
    <w:p w14:paraId="585263C9" w14:textId="77777777" w:rsidR="00DC5066" w:rsidRPr="00BA1B7B" w:rsidRDefault="00DC5066" w:rsidP="00DC5066">
      <w:pPr>
        <w:spacing w:line="276" w:lineRule="auto"/>
        <w:rPr>
          <w:rFonts w:ascii="Arial" w:hAnsi="Arial" w:cs="Arial"/>
          <w:sz w:val="20"/>
          <w:szCs w:val="20"/>
          <w:u w:val="single"/>
        </w:rPr>
      </w:pPr>
    </w:p>
    <w:p w14:paraId="6BCAFAA5" w14:textId="77777777" w:rsidR="00DC5066" w:rsidRPr="00BA1B7B" w:rsidRDefault="00DC5066" w:rsidP="00DC5066">
      <w:pPr>
        <w:spacing w:line="276" w:lineRule="auto"/>
        <w:rPr>
          <w:rFonts w:ascii="Arial" w:hAnsi="Arial" w:cs="Arial"/>
          <w:b/>
          <w:sz w:val="20"/>
          <w:szCs w:val="20"/>
          <w:u w:val="single"/>
        </w:rPr>
      </w:pPr>
      <w:r w:rsidRPr="00BA1B7B">
        <w:rPr>
          <w:rFonts w:ascii="Arial" w:hAnsi="Arial" w:cs="Arial"/>
          <w:b/>
          <w:sz w:val="20"/>
          <w:szCs w:val="20"/>
          <w:u w:val="single"/>
        </w:rPr>
        <w:t>Vaccines</w:t>
      </w:r>
    </w:p>
    <w:p w14:paraId="64FE89F8" w14:textId="77777777" w:rsidR="00DC5066" w:rsidRPr="00BA1B7B" w:rsidRDefault="00DC5066" w:rsidP="004A22FD">
      <w:pPr>
        <w:pStyle w:val="ListParagraph"/>
        <w:numPr>
          <w:ilvl w:val="0"/>
          <w:numId w:val="4"/>
        </w:numPr>
        <w:spacing w:line="276" w:lineRule="auto"/>
        <w:rPr>
          <w:rFonts w:ascii="Arial" w:hAnsi="Arial" w:cs="Arial"/>
          <w:sz w:val="20"/>
          <w:szCs w:val="20"/>
        </w:rPr>
      </w:pPr>
      <w:r w:rsidRPr="00BA1B7B">
        <w:rPr>
          <w:rFonts w:ascii="Arial" w:hAnsi="Arial" w:cs="Arial"/>
          <w:sz w:val="20"/>
          <w:szCs w:val="20"/>
        </w:rPr>
        <w:t>Hepatitis B</w:t>
      </w:r>
    </w:p>
    <w:p w14:paraId="13FFDD04" w14:textId="77777777" w:rsidR="00DC5066" w:rsidRPr="00BA1B7B" w:rsidRDefault="00DC5066" w:rsidP="004A22FD">
      <w:pPr>
        <w:pStyle w:val="ListParagraph"/>
        <w:numPr>
          <w:ilvl w:val="0"/>
          <w:numId w:val="4"/>
        </w:numPr>
        <w:spacing w:line="276" w:lineRule="auto"/>
        <w:rPr>
          <w:rFonts w:ascii="Arial" w:hAnsi="Arial" w:cs="Arial"/>
          <w:sz w:val="20"/>
          <w:szCs w:val="20"/>
        </w:rPr>
      </w:pPr>
      <w:r w:rsidRPr="00BA1B7B">
        <w:rPr>
          <w:rFonts w:ascii="Arial" w:hAnsi="Arial" w:cs="Arial"/>
          <w:sz w:val="20"/>
          <w:szCs w:val="20"/>
        </w:rPr>
        <w:t>Measles, Mumps and Rubella (MMR)</w:t>
      </w:r>
    </w:p>
    <w:p w14:paraId="59CEA7D6" w14:textId="67CB178B" w:rsidR="00DC5066" w:rsidRPr="00BA1B7B" w:rsidRDefault="00DC5066" w:rsidP="004A22FD">
      <w:pPr>
        <w:pStyle w:val="ListParagraph"/>
        <w:numPr>
          <w:ilvl w:val="0"/>
          <w:numId w:val="4"/>
        </w:numPr>
        <w:spacing w:line="276" w:lineRule="auto"/>
        <w:rPr>
          <w:rFonts w:ascii="Arial" w:hAnsi="Arial" w:cs="Arial"/>
          <w:sz w:val="20"/>
          <w:szCs w:val="20"/>
        </w:rPr>
      </w:pPr>
      <w:r w:rsidRPr="00BA1B7B">
        <w:rPr>
          <w:rFonts w:ascii="Arial" w:hAnsi="Arial" w:cs="Arial"/>
          <w:sz w:val="20"/>
          <w:szCs w:val="20"/>
        </w:rPr>
        <w:t xml:space="preserve">Rubella – Rubella vaccination is contraindicated during pregnancy, </w:t>
      </w:r>
      <w:bookmarkStart w:id="12" w:name="_Hlk45793006"/>
      <w:r w:rsidRPr="00BA1B7B">
        <w:rPr>
          <w:rFonts w:ascii="Arial" w:hAnsi="Arial" w:cs="Arial"/>
          <w:sz w:val="20"/>
          <w:szCs w:val="20"/>
        </w:rPr>
        <w:t xml:space="preserve">but rubella immunity should be checked </w:t>
      </w:r>
      <w:bookmarkStart w:id="13" w:name="_GoBack"/>
      <w:bookmarkEnd w:id="13"/>
      <w:r w:rsidR="00A97F97">
        <w:rPr>
          <w:rFonts w:ascii="Arial" w:hAnsi="Arial" w:cs="Arial"/>
          <w:sz w:val="20"/>
          <w:szCs w:val="20"/>
        </w:rPr>
        <w:t>antenatally</w:t>
      </w:r>
      <w:r w:rsidRPr="00BA1B7B">
        <w:rPr>
          <w:rFonts w:ascii="Arial" w:hAnsi="Arial" w:cs="Arial"/>
          <w:sz w:val="20"/>
          <w:szCs w:val="20"/>
        </w:rPr>
        <w:t xml:space="preserve"> and highlighted if low. The Measles Mumps Rubella (MMR) vaccine will be administered postpartum prior to discharge from hospital, and is considered safe whilst breastfeeding. </w:t>
      </w:r>
      <w:bookmarkEnd w:id="12"/>
    </w:p>
    <w:p w14:paraId="68099E39" w14:textId="77777777" w:rsidR="00DC5066" w:rsidRPr="00BA1B7B" w:rsidRDefault="00DC5066" w:rsidP="004A22FD">
      <w:pPr>
        <w:pStyle w:val="ListParagraph"/>
        <w:numPr>
          <w:ilvl w:val="0"/>
          <w:numId w:val="4"/>
        </w:numPr>
        <w:spacing w:line="276" w:lineRule="auto"/>
        <w:rPr>
          <w:rFonts w:ascii="Arial" w:hAnsi="Arial" w:cs="Arial"/>
          <w:sz w:val="20"/>
          <w:szCs w:val="20"/>
        </w:rPr>
      </w:pPr>
      <w:r w:rsidRPr="00BA1B7B">
        <w:rPr>
          <w:rFonts w:ascii="Arial" w:hAnsi="Arial" w:cs="Arial"/>
          <w:sz w:val="20"/>
          <w:szCs w:val="20"/>
        </w:rPr>
        <w:t>Varicella</w:t>
      </w:r>
    </w:p>
    <w:p w14:paraId="5407D69C" w14:textId="77777777" w:rsidR="00DC5066" w:rsidRPr="00BA1B7B" w:rsidRDefault="00DC5066" w:rsidP="004A22FD">
      <w:pPr>
        <w:pStyle w:val="ListParagraph"/>
        <w:numPr>
          <w:ilvl w:val="0"/>
          <w:numId w:val="4"/>
        </w:numPr>
        <w:spacing w:line="276" w:lineRule="auto"/>
        <w:rPr>
          <w:rFonts w:ascii="Arial" w:hAnsi="Arial" w:cs="Arial"/>
          <w:sz w:val="20"/>
          <w:szCs w:val="20"/>
        </w:rPr>
      </w:pPr>
      <w:r w:rsidRPr="00BA1B7B">
        <w:rPr>
          <w:rFonts w:ascii="Arial" w:hAnsi="Arial" w:cs="Arial"/>
          <w:sz w:val="20"/>
          <w:szCs w:val="20"/>
        </w:rPr>
        <w:t>Influenza</w:t>
      </w:r>
    </w:p>
    <w:p w14:paraId="4BC0F9B6" w14:textId="77777777" w:rsidR="00DC5066" w:rsidRPr="00BA1B7B" w:rsidRDefault="00DC5066" w:rsidP="00DC5066">
      <w:pPr>
        <w:spacing w:line="276" w:lineRule="auto"/>
        <w:rPr>
          <w:rFonts w:ascii="Arial" w:hAnsi="Arial" w:cs="Arial"/>
          <w:sz w:val="20"/>
          <w:szCs w:val="20"/>
        </w:rPr>
      </w:pPr>
    </w:p>
    <w:p w14:paraId="24F400FB" w14:textId="5447DB24" w:rsidR="001242AB" w:rsidRPr="00BA1B7B" w:rsidRDefault="00DC5066" w:rsidP="006923BD">
      <w:pPr>
        <w:spacing w:line="276" w:lineRule="auto"/>
        <w:jc w:val="center"/>
        <w:rPr>
          <w:rFonts w:ascii="Arial" w:hAnsi="Arial" w:cs="Arial"/>
          <w:sz w:val="20"/>
          <w:szCs w:val="20"/>
          <w:u w:val="single"/>
        </w:rPr>
      </w:pPr>
      <w:r w:rsidRPr="00BA1B7B">
        <w:rPr>
          <w:rFonts w:ascii="Arial" w:hAnsi="Arial" w:cs="Arial"/>
          <w:sz w:val="20"/>
          <w:szCs w:val="20"/>
        </w:rPr>
        <w:lastRenderedPageBreak/>
        <w:t xml:space="preserve">For further information please refer to link </w:t>
      </w:r>
      <w:r w:rsidR="006923BD" w:rsidRPr="00BA1B7B">
        <w:rPr>
          <w:rFonts w:ascii="Arial" w:hAnsi="Arial" w:cs="Arial"/>
          <w:sz w:val="20"/>
          <w:szCs w:val="20"/>
        </w:rPr>
        <w:t>:</w:t>
      </w:r>
      <w:r w:rsidR="006923BD" w:rsidRPr="00BA1B7B">
        <w:rPr>
          <w:rFonts w:ascii="Arial" w:hAnsi="Arial" w:cs="Arial"/>
          <w:i/>
          <w:sz w:val="20"/>
          <w:szCs w:val="20"/>
        </w:rPr>
        <w:t xml:space="preserve"> </w:t>
      </w:r>
      <w:hyperlink r:id="rId20" w:history="1">
        <w:r w:rsidR="006923BD" w:rsidRPr="00BA1B7B">
          <w:rPr>
            <w:rFonts w:ascii="Arial" w:hAnsi="Arial" w:cs="Arial"/>
            <w:sz w:val="20"/>
            <w:szCs w:val="20"/>
            <w:u w:val="single"/>
          </w:rPr>
          <w:t>https://www.racgp.org.au/clinical-resources/clinical-guidelines/key-racgp-guidelines/view-all-racgp-guidelines/red-book/preventive-activities-prior-to-pregnancy</w:t>
        </w:r>
      </w:hyperlink>
    </w:p>
    <w:p w14:paraId="68F63F29" w14:textId="3DF6C7CB" w:rsidR="00E009F0" w:rsidRPr="00BA1B7B" w:rsidRDefault="00E009F0" w:rsidP="00E009F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14" w:name="_Toc118470042"/>
      <w:bookmarkStart w:id="15" w:name="_Toc120614278"/>
      <w:r w:rsidRPr="00BA1B7B">
        <w:rPr>
          <w:rFonts w:ascii="Arial" w:eastAsia="Times New Roman" w:hAnsi="Arial" w:cs="Arial"/>
          <w:b/>
          <w:bCs/>
          <w:sz w:val="20"/>
          <w:szCs w:val="20"/>
          <w:lang w:eastAsia="en-AU"/>
        </w:rPr>
        <w:t>COVID-19 vaccines are safe during pregnancy</w:t>
      </w:r>
      <w:bookmarkEnd w:id="14"/>
      <w:bookmarkEnd w:id="15"/>
    </w:p>
    <w:p w14:paraId="49E20699"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A </w:t>
      </w:r>
      <w:hyperlink r:id="rId21" w:history="1">
        <w:r w:rsidRPr="00BA1B7B">
          <w:rPr>
            <w:rFonts w:ascii="Arial" w:eastAsia="Times New Roman" w:hAnsi="Arial" w:cs="Arial"/>
            <w:sz w:val="20"/>
            <w:szCs w:val="20"/>
            <w:u w:val="single"/>
            <w:lang w:eastAsia="en-AU"/>
          </w:rPr>
          <w:t>United States study</w:t>
        </w:r>
      </w:hyperlink>
      <w:r w:rsidRPr="00BA1B7B">
        <w:rPr>
          <w:rFonts w:ascii="Arial" w:eastAsia="Times New Roman" w:hAnsi="Arial" w:cs="Arial"/>
          <w:sz w:val="20"/>
          <w:szCs w:val="20"/>
          <w:lang w:eastAsia="en-AU"/>
        </w:rPr>
        <w:t> of more than 35,000 pregnant women showed no difference in side effects between those who were pregnant and those who were not. Women who were pregnant did not show any unique side effects.</w:t>
      </w:r>
    </w:p>
    <w:p w14:paraId="7F23FB56"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Results from the vaccine program in Israel have also shown that Pfizer is effective in preventing COVID-19 in pregnancy.</w:t>
      </w:r>
    </w:p>
    <w:p w14:paraId="226E17B1" w14:textId="012177E5"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Vaccination does not increase the chances of pregnancy complications such as premature delivery, stillbirth, and small for gestational age infants and birth defects.</w:t>
      </w:r>
    </w:p>
    <w:p w14:paraId="748FA81B"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Talk to your GP if you are pregnant, breastfeeding, or planning pregnancy.</w:t>
      </w:r>
    </w:p>
    <w:p w14:paraId="46310699" w14:textId="072E4D16" w:rsidR="00E009F0" w:rsidRPr="00BA1B7B" w:rsidRDefault="00E009F0" w:rsidP="00E009F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16" w:name="_Toc120614279"/>
      <w:r w:rsidRPr="00BA1B7B">
        <w:rPr>
          <w:rFonts w:ascii="Arial" w:eastAsia="Times New Roman" w:hAnsi="Arial" w:cs="Arial"/>
          <w:b/>
          <w:bCs/>
          <w:sz w:val="20"/>
          <w:szCs w:val="20"/>
          <w:lang w:eastAsia="en-AU"/>
        </w:rPr>
        <w:t>Protection from COVID-19 for your baby</w:t>
      </w:r>
      <w:bookmarkEnd w:id="16"/>
    </w:p>
    <w:p w14:paraId="61D6FFE9"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Research shows that the antibodies created during pregnancy after receiving a COVID-19 vaccine can cross the placenta. This occurred in women who received their first dose early in pregnancy and were fully vaccinated before their baby was born.</w:t>
      </w:r>
    </w:p>
    <w:p w14:paraId="10246FCE"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These antibodies may provide the baby with some protection against COVID-19 for the first few months of life.</w:t>
      </w:r>
    </w:p>
    <w:p w14:paraId="60E1E35D" w14:textId="38767EEE" w:rsidR="00E009F0" w:rsidRPr="00BA1B7B" w:rsidRDefault="00E009F0" w:rsidP="00E009F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17" w:name="_Toc120614280"/>
      <w:r w:rsidRPr="00BA1B7B">
        <w:rPr>
          <w:rFonts w:ascii="Arial" w:eastAsia="Times New Roman" w:hAnsi="Arial" w:cs="Arial"/>
          <w:b/>
          <w:bCs/>
          <w:sz w:val="20"/>
          <w:szCs w:val="20"/>
          <w:lang w:eastAsia="en-AU"/>
        </w:rPr>
        <w:t>Third and booster doses during pregnancy</w:t>
      </w:r>
      <w:bookmarkEnd w:id="17"/>
    </w:p>
    <w:p w14:paraId="54DC4319" w14:textId="5AC75AD6"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Pregnant women with severe </w:t>
      </w:r>
      <w:r w:rsidR="006923BD" w:rsidRPr="00BA1B7B">
        <w:rPr>
          <w:rFonts w:ascii="Arial" w:eastAsia="Times New Roman" w:hAnsi="Arial" w:cs="Arial"/>
          <w:sz w:val="20"/>
          <w:szCs w:val="20"/>
          <w:lang w:eastAsia="en-AU"/>
        </w:rPr>
        <w:t xml:space="preserve">immune-compromise </w:t>
      </w:r>
      <w:r w:rsidRPr="00BA1B7B">
        <w:rPr>
          <w:rFonts w:ascii="Arial" w:eastAsia="Times New Roman" w:hAnsi="Arial" w:cs="Arial"/>
          <w:sz w:val="20"/>
          <w:szCs w:val="20"/>
          <w:lang w:eastAsia="en-AU"/>
        </w:rPr>
        <w:t xml:space="preserve"> should receive a third dose of a COVID-19 vaccine as part of your primary course.</w:t>
      </w:r>
    </w:p>
    <w:p w14:paraId="2106E788" w14:textId="4700C0DD" w:rsidR="00E009F0" w:rsidRPr="00BA1B7B" w:rsidRDefault="00723712"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Pregnant women</w:t>
      </w:r>
      <w:r w:rsidR="00E009F0" w:rsidRPr="00BA1B7B">
        <w:rPr>
          <w:rFonts w:ascii="Arial" w:eastAsia="Times New Roman" w:hAnsi="Arial" w:cs="Arial"/>
          <w:sz w:val="20"/>
          <w:szCs w:val="20"/>
          <w:lang w:eastAsia="en-AU"/>
        </w:rPr>
        <w:t xml:space="preserve"> should also have a booster dose, 3 months after your primary course. This includes severely </w:t>
      </w:r>
      <w:r w:rsidR="006923BD" w:rsidRPr="00BA1B7B">
        <w:rPr>
          <w:rFonts w:ascii="Arial" w:eastAsia="Times New Roman" w:hAnsi="Arial" w:cs="Arial"/>
          <w:sz w:val="20"/>
          <w:szCs w:val="20"/>
          <w:lang w:eastAsia="en-AU"/>
        </w:rPr>
        <w:t>immune-</w:t>
      </w:r>
      <w:r w:rsidR="00E009F0" w:rsidRPr="00BA1B7B">
        <w:rPr>
          <w:rFonts w:ascii="Arial" w:eastAsia="Times New Roman" w:hAnsi="Arial" w:cs="Arial"/>
          <w:sz w:val="20"/>
          <w:szCs w:val="20"/>
          <w:lang w:eastAsia="en-AU"/>
        </w:rPr>
        <w:t>compromised people who had 3 doses as part of their primary course.</w:t>
      </w:r>
    </w:p>
    <w:p w14:paraId="20ED10E5"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Some people are also recommended to have an additional booster dose, or fourth dose. This additional booster will be a fifth dose for people who are severely immunocompromised, have an underlying medical condition or disability.</w:t>
      </w:r>
    </w:p>
    <w:p w14:paraId="41ADD56B"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Pregnant women aged between 30 to 50 years old have the option to receive a fourth dose following a discussion with their GP, to see if it is right for their individual health needs. While there are no safety concerns, a fourth dose is not recommended by ATAGI for all pregnancies at this time.</w:t>
      </w:r>
    </w:p>
    <w:p w14:paraId="44E13480"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Find out more about </w:t>
      </w:r>
      <w:hyperlink r:id="rId22" w:history="1">
        <w:r w:rsidRPr="00BA1B7B">
          <w:rPr>
            <w:rFonts w:ascii="Arial" w:eastAsia="Times New Roman" w:hAnsi="Arial" w:cs="Arial"/>
            <w:sz w:val="20"/>
            <w:szCs w:val="20"/>
            <w:u w:val="single"/>
            <w:lang w:eastAsia="en-AU"/>
          </w:rPr>
          <w:t>booster doses</w:t>
        </w:r>
      </w:hyperlink>
      <w:r w:rsidRPr="00BA1B7B">
        <w:rPr>
          <w:rFonts w:ascii="Arial" w:eastAsia="Times New Roman" w:hAnsi="Arial" w:cs="Arial"/>
          <w:sz w:val="20"/>
          <w:szCs w:val="20"/>
          <w:lang w:eastAsia="en-AU"/>
        </w:rPr>
        <w:t>.</w:t>
      </w:r>
    </w:p>
    <w:p w14:paraId="0EA7E90C" w14:textId="1763F063" w:rsidR="00E009F0" w:rsidRPr="00BA1B7B" w:rsidRDefault="00E009F0" w:rsidP="00E009F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18" w:name="_Toc120614281"/>
      <w:r w:rsidRPr="00BA1B7B">
        <w:rPr>
          <w:rFonts w:ascii="Arial" w:eastAsia="Times New Roman" w:hAnsi="Arial" w:cs="Arial"/>
          <w:b/>
          <w:bCs/>
          <w:sz w:val="20"/>
          <w:szCs w:val="20"/>
          <w:lang w:eastAsia="en-AU"/>
        </w:rPr>
        <w:t>Vaccination after COVID-19</w:t>
      </w:r>
      <w:bookmarkEnd w:id="18"/>
    </w:p>
    <w:p w14:paraId="5AA41CF7"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If you have had COVID-19 you should wait to be vaccinated with a COVID-19 vaccine for 3 months after the confirmed infection.</w:t>
      </w:r>
    </w:p>
    <w:p w14:paraId="64F824FE"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lastRenderedPageBreak/>
        <w:t>This is to optimise your vaccine protection. A longer gap between infection and vaccination is likely to lead to a better immune response and result in longer protection from reinfection.</w:t>
      </w:r>
    </w:p>
    <w:p w14:paraId="1EB00861"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The next scheduled dose of COVID-19 vaccine should be given as soon as possible after 3 months. You should still have all the recommended doses.</w:t>
      </w:r>
    </w:p>
    <w:p w14:paraId="623E3E7D" w14:textId="7BCCB121" w:rsidR="00E009F0" w:rsidRPr="00BA1B7B" w:rsidRDefault="00E009F0" w:rsidP="00E009F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19" w:name="_Toc120614282"/>
      <w:r w:rsidRPr="00BA1B7B">
        <w:rPr>
          <w:rFonts w:ascii="Arial" w:eastAsia="Times New Roman" w:hAnsi="Arial" w:cs="Arial"/>
          <w:b/>
          <w:bCs/>
          <w:sz w:val="20"/>
          <w:szCs w:val="20"/>
          <w:lang w:eastAsia="en-AU"/>
        </w:rPr>
        <w:t>Staying up to date</w:t>
      </w:r>
      <w:bookmarkEnd w:id="19"/>
    </w:p>
    <w:p w14:paraId="08F025AB"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To be considered up to date with COVID-19 vaccination, you must have completed all the doses recommended for your age and health status.</w:t>
      </w:r>
    </w:p>
    <w:p w14:paraId="7FE1C5F1"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Find out about how to </w:t>
      </w:r>
      <w:hyperlink r:id="rId23" w:history="1">
        <w:r w:rsidRPr="00BA1B7B">
          <w:rPr>
            <w:rFonts w:ascii="Arial" w:eastAsia="Times New Roman" w:hAnsi="Arial" w:cs="Arial"/>
            <w:sz w:val="20"/>
            <w:szCs w:val="20"/>
            <w:u w:val="single"/>
            <w:lang w:eastAsia="en-AU"/>
          </w:rPr>
          <w:t>stay up to date with COVID-19 vaccines</w:t>
        </w:r>
      </w:hyperlink>
      <w:r w:rsidRPr="00BA1B7B">
        <w:rPr>
          <w:rFonts w:ascii="Arial" w:eastAsia="Times New Roman" w:hAnsi="Arial" w:cs="Arial"/>
          <w:sz w:val="20"/>
          <w:szCs w:val="20"/>
          <w:lang w:eastAsia="en-AU"/>
        </w:rPr>
        <w:t>.</w:t>
      </w:r>
    </w:p>
    <w:p w14:paraId="1373B0EE" w14:textId="31C20403" w:rsidR="00E009F0" w:rsidRPr="00BA1B7B" w:rsidRDefault="00E009F0" w:rsidP="00E009F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20" w:name="_Toc120614283"/>
      <w:r w:rsidRPr="00BA1B7B">
        <w:rPr>
          <w:rFonts w:ascii="Arial" w:eastAsia="Times New Roman" w:hAnsi="Arial" w:cs="Arial"/>
          <w:b/>
          <w:bCs/>
          <w:sz w:val="20"/>
          <w:szCs w:val="20"/>
          <w:lang w:eastAsia="en-AU"/>
        </w:rPr>
        <w:t>Side effects after COVID-19 vaccination during pregnancy</w:t>
      </w:r>
      <w:bookmarkEnd w:id="20"/>
    </w:p>
    <w:p w14:paraId="58575009"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Most potential side effects from COVID-19 vaccines are mild and go away in a few days. See our </w:t>
      </w:r>
      <w:hyperlink r:id="rId24" w:anchor="side-effects" w:history="1">
        <w:r w:rsidRPr="00BA1B7B">
          <w:rPr>
            <w:rFonts w:ascii="Arial" w:eastAsia="Times New Roman" w:hAnsi="Arial" w:cs="Arial"/>
            <w:sz w:val="20"/>
            <w:szCs w:val="20"/>
            <w:u w:val="single"/>
            <w:lang w:eastAsia="en-AU"/>
          </w:rPr>
          <w:t>general guidance on side effects.</w:t>
        </w:r>
      </w:hyperlink>
    </w:p>
    <w:p w14:paraId="28A63E3D"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If you have any of these side effects after your vaccination, you can take paracetamol to ease the symptoms. Paracetamol is safe in all stages of pregnancy.</w:t>
      </w:r>
    </w:p>
    <w:p w14:paraId="0CAE8341" w14:textId="77777777" w:rsidR="00E009F0" w:rsidRPr="00BA1B7B" w:rsidRDefault="00E009F0" w:rsidP="007A499C">
      <w:pPr>
        <w:spacing w:before="100" w:beforeAutospacing="1" w:after="100" w:afterAutospacing="1"/>
        <w:rPr>
          <w:rFonts w:ascii="Arial" w:eastAsia="Times New Roman" w:hAnsi="Arial" w:cs="Arial"/>
          <w:b/>
          <w:sz w:val="20"/>
          <w:szCs w:val="20"/>
          <w:lang w:eastAsia="en-AU"/>
        </w:rPr>
      </w:pPr>
      <w:r w:rsidRPr="00BA1B7B">
        <w:rPr>
          <w:rFonts w:ascii="Arial" w:eastAsia="Times New Roman" w:hAnsi="Arial" w:cs="Arial"/>
          <w:b/>
          <w:sz w:val="20"/>
          <w:szCs w:val="20"/>
          <w:lang w:eastAsia="en-AU"/>
        </w:rPr>
        <w:t>Studies from around the world have not found any side effects specific to pregnancy or birth.</w:t>
      </w:r>
    </w:p>
    <w:p w14:paraId="1DEE06F8" w14:textId="53891289" w:rsidR="00E009F0" w:rsidRPr="00BA1B7B" w:rsidRDefault="00E009F0" w:rsidP="007A499C">
      <w:pPr>
        <w:spacing w:before="100" w:beforeAutospacing="1" w:after="100" w:afterAutospacing="1"/>
        <w:outlineLvl w:val="1"/>
        <w:rPr>
          <w:rFonts w:ascii="Arial" w:eastAsia="Times New Roman" w:hAnsi="Arial" w:cs="Arial"/>
          <w:b/>
          <w:sz w:val="20"/>
          <w:szCs w:val="20"/>
          <w:lang w:eastAsia="en-AU"/>
        </w:rPr>
      </w:pPr>
      <w:bookmarkStart w:id="21" w:name="_Toc120614284"/>
      <w:r w:rsidRPr="00BA1B7B">
        <w:rPr>
          <w:rFonts w:ascii="Arial" w:eastAsia="Times New Roman" w:hAnsi="Arial" w:cs="Arial"/>
          <w:b/>
          <w:sz w:val="20"/>
          <w:szCs w:val="20"/>
          <w:lang w:eastAsia="en-AU"/>
        </w:rPr>
        <w:t>Why the advice has changed</w:t>
      </w:r>
      <w:r w:rsidR="007A499C" w:rsidRPr="00BA1B7B">
        <w:rPr>
          <w:rFonts w:ascii="Arial" w:eastAsia="Times New Roman" w:hAnsi="Arial" w:cs="Arial"/>
          <w:b/>
          <w:sz w:val="20"/>
          <w:szCs w:val="20"/>
          <w:lang w:eastAsia="en-AU"/>
        </w:rPr>
        <w:t>?</w:t>
      </w:r>
      <w:bookmarkEnd w:id="21"/>
    </w:p>
    <w:p w14:paraId="4F8E0DF7"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Pregnant women were not included in the first clinical trials for COVID-19 vaccines. There was limited evidence available during the early stages of the vaccine rollout.</w:t>
      </w:r>
    </w:p>
    <w:p w14:paraId="17BAAD93"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Over time, real-world evidence has shown that the mRNA COVID-19 vaccines </w:t>
      </w:r>
      <w:hyperlink r:id="rId25" w:history="1">
        <w:r w:rsidRPr="00BA1B7B">
          <w:rPr>
            <w:rFonts w:ascii="Arial" w:eastAsia="Times New Roman" w:hAnsi="Arial" w:cs="Arial"/>
            <w:sz w:val="20"/>
            <w:szCs w:val="20"/>
            <w:u w:val="single"/>
            <w:lang w:eastAsia="en-AU"/>
          </w:rPr>
          <w:t>Comirnaty (Pfizer)</w:t>
        </w:r>
      </w:hyperlink>
      <w:r w:rsidRPr="00BA1B7B">
        <w:rPr>
          <w:rFonts w:ascii="Arial" w:eastAsia="Times New Roman" w:hAnsi="Arial" w:cs="Arial"/>
          <w:sz w:val="20"/>
          <w:szCs w:val="20"/>
          <w:lang w:eastAsia="en-AU"/>
        </w:rPr>
        <w:t> and </w:t>
      </w:r>
      <w:hyperlink r:id="rId26" w:history="1">
        <w:r w:rsidRPr="00BA1B7B">
          <w:rPr>
            <w:rFonts w:ascii="Arial" w:eastAsia="Times New Roman" w:hAnsi="Arial" w:cs="Arial"/>
            <w:sz w:val="20"/>
            <w:szCs w:val="20"/>
            <w:u w:val="single"/>
            <w:lang w:eastAsia="en-AU"/>
          </w:rPr>
          <w:t>Spikevax (Moderna)</w:t>
        </w:r>
      </w:hyperlink>
      <w:r w:rsidRPr="00BA1B7B">
        <w:rPr>
          <w:rFonts w:ascii="Arial" w:eastAsia="Times New Roman" w:hAnsi="Arial" w:cs="Arial"/>
          <w:sz w:val="20"/>
          <w:szCs w:val="20"/>
          <w:lang w:eastAsia="en-AU"/>
        </w:rPr>
        <w:t> are safe to use in any stage of pregnancy.</w:t>
      </w:r>
    </w:p>
    <w:p w14:paraId="6FA1A901" w14:textId="4C0C1F18" w:rsidR="00E009F0" w:rsidRPr="00BA1B7B" w:rsidRDefault="00E009F0" w:rsidP="00E009F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22" w:name="_Toc120614285"/>
      <w:r w:rsidRPr="00BA1B7B">
        <w:rPr>
          <w:rFonts w:ascii="Arial" w:eastAsia="Times New Roman" w:hAnsi="Arial" w:cs="Arial"/>
          <w:b/>
          <w:bCs/>
          <w:sz w:val="20"/>
          <w:szCs w:val="20"/>
          <w:lang w:eastAsia="en-AU"/>
        </w:rPr>
        <w:t>Getting more information</w:t>
      </w:r>
      <w:bookmarkEnd w:id="22"/>
    </w:p>
    <w:p w14:paraId="27DD8BF1" w14:textId="77777777" w:rsidR="00E009F0" w:rsidRPr="00BA1B7B" w:rsidRDefault="00E009F0" w:rsidP="00E009F0">
      <w:p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You can get more information about COVID-19 vaccines during pregnancy from:</w:t>
      </w:r>
    </w:p>
    <w:p w14:paraId="794E6AB3" w14:textId="77777777" w:rsidR="00E009F0" w:rsidRPr="00BA1B7B" w:rsidRDefault="00E009F0" w:rsidP="004A22FD">
      <w:pPr>
        <w:numPr>
          <w:ilvl w:val="0"/>
          <w:numId w:val="62"/>
        </w:num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The Jean Hailes podcast – </w:t>
      </w:r>
      <w:hyperlink r:id="rId27" w:history="1">
        <w:r w:rsidRPr="00BA1B7B">
          <w:rPr>
            <w:rFonts w:ascii="Arial" w:eastAsia="Times New Roman" w:hAnsi="Arial" w:cs="Arial"/>
            <w:sz w:val="20"/>
            <w:szCs w:val="20"/>
            <w:u w:val="single"/>
            <w:lang w:eastAsia="en-AU"/>
          </w:rPr>
          <w:t>Vaccines, safety and women</w:t>
        </w:r>
      </w:hyperlink>
    </w:p>
    <w:p w14:paraId="5060402D" w14:textId="77777777" w:rsidR="00E009F0" w:rsidRPr="00BA1B7B" w:rsidRDefault="00E009F0" w:rsidP="004A22FD">
      <w:pPr>
        <w:numPr>
          <w:ilvl w:val="0"/>
          <w:numId w:val="62"/>
        </w:num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Royal Australian and New Zealand College of Obstetricians and Gynaecologists (RANZCOG) – </w:t>
      </w:r>
      <w:hyperlink r:id="rId28" w:history="1">
        <w:r w:rsidRPr="00BA1B7B">
          <w:rPr>
            <w:rFonts w:ascii="Arial" w:eastAsia="Times New Roman" w:hAnsi="Arial" w:cs="Arial"/>
            <w:sz w:val="20"/>
            <w:szCs w:val="20"/>
            <w:u w:val="single"/>
            <w:lang w:eastAsia="en-AU"/>
          </w:rPr>
          <w:t>Pregnancy and COVID-19 Vaccination Webinar</w:t>
        </w:r>
      </w:hyperlink>
      <w:r w:rsidRPr="00BA1B7B">
        <w:rPr>
          <w:rFonts w:ascii="Arial" w:eastAsia="Times New Roman" w:hAnsi="Arial" w:cs="Arial"/>
          <w:sz w:val="20"/>
          <w:szCs w:val="20"/>
          <w:lang w:eastAsia="en-AU"/>
        </w:rPr>
        <w:t>, translated versions are </w:t>
      </w:r>
      <w:hyperlink r:id="rId29" w:history="1">
        <w:r w:rsidRPr="00BA1B7B">
          <w:rPr>
            <w:rFonts w:ascii="Arial" w:eastAsia="Times New Roman" w:hAnsi="Arial" w:cs="Arial"/>
            <w:sz w:val="20"/>
            <w:szCs w:val="20"/>
            <w:u w:val="single"/>
            <w:lang w:eastAsia="en-AU"/>
          </w:rPr>
          <w:t>also available</w:t>
        </w:r>
      </w:hyperlink>
    </w:p>
    <w:p w14:paraId="178ACE99" w14:textId="77777777" w:rsidR="00E009F0" w:rsidRPr="00BA1B7B" w:rsidRDefault="00E009F0" w:rsidP="004A22FD">
      <w:pPr>
        <w:numPr>
          <w:ilvl w:val="0"/>
          <w:numId w:val="62"/>
        </w:num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RANZCOG statement - </w:t>
      </w:r>
      <w:hyperlink r:id="rId30" w:history="1">
        <w:r w:rsidRPr="00BA1B7B">
          <w:rPr>
            <w:rFonts w:ascii="Arial" w:eastAsia="Times New Roman" w:hAnsi="Arial" w:cs="Arial"/>
            <w:sz w:val="20"/>
            <w:szCs w:val="20"/>
            <w:u w:val="single"/>
            <w:lang w:eastAsia="en-AU"/>
          </w:rPr>
          <w:t>reiterating advice on COVID-19 vaccination</w:t>
        </w:r>
      </w:hyperlink>
    </w:p>
    <w:p w14:paraId="43248BAA" w14:textId="77777777" w:rsidR="00E009F0" w:rsidRPr="00BA1B7B" w:rsidRDefault="00E009F0" w:rsidP="004A22FD">
      <w:pPr>
        <w:numPr>
          <w:ilvl w:val="0"/>
          <w:numId w:val="62"/>
        </w:num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Australian Academy of Science – </w:t>
      </w:r>
      <w:hyperlink r:id="rId31" w:history="1">
        <w:r w:rsidRPr="00BA1B7B">
          <w:rPr>
            <w:rFonts w:ascii="Arial" w:eastAsia="Times New Roman" w:hAnsi="Arial" w:cs="Arial"/>
            <w:sz w:val="20"/>
            <w:szCs w:val="20"/>
            <w:u w:val="single"/>
            <w:lang w:eastAsia="en-AU"/>
          </w:rPr>
          <w:t>Pregnancies, periods and COVID-19 vaccines: what you need to know</w:t>
        </w:r>
      </w:hyperlink>
    </w:p>
    <w:p w14:paraId="6C0EC88E" w14:textId="77777777" w:rsidR="00E009F0" w:rsidRPr="00BA1B7B" w:rsidRDefault="00E009F0" w:rsidP="004A22FD">
      <w:pPr>
        <w:numPr>
          <w:ilvl w:val="0"/>
          <w:numId w:val="62"/>
        </w:num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Australian College of Midwives – </w:t>
      </w:r>
      <w:hyperlink r:id="rId32" w:history="1">
        <w:r w:rsidRPr="00BA1B7B">
          <w:rPr>
            <w:rFonts w:ascii="Arial" w:eastAsia="Times New Roman" w:hAnsi="Arial" w:cs="Arial"/>
            <w:sz w:val="20"/>
            <w:szCs w:val="20"/>
            <w:u w:val="single"/>
            <w:lang w:eastAsia="en-AU"/>
          </w:rPr>
          <w:t>COVID-19 vaccination online e-learning space</w:t>
        </w:r>
      </w:hyperlink>
    </w:p>
    <w:p w14:paraId="0E30DA96" w14:textId="77777777" w:rsidR="00E009F0" w:rsidRPr="00BA1B7B" w:rsidRDefault="00E009F0" w:rsidP="004A22FD">
      <w:pPr>
        <w:numPr>
          <w:ilvl w:val="0"/>
          <w:numId w:val="62"/>
        </w:numPr>
        <w:shd w:val="clear" w:color="auto" w:fill="FFFFFF"/>
        <w:spacing w:before="100" w:beforeAutospacing="1" w:after="100" w:afterAutospacing="1"/>
        <w:rPr>
          <w:rFonts w:ascii="Arial" w:eastAsia="Times New Roman" w:hAnsi="Arial" w:cs="Arial"/>
          <w:sz w:val="20"/>
          <w:szCs w:val="20"/>
          <w:lang w:eastAsia="en-AU"/>
        </w:rPr>
      </w:pPr>
      <w:r w:rsidRPr="00BA1B7B">
        <w:rPr>
          <w:rFonts w:ascii="Arial" w:eastAsia="Times New Roman" w:hAnsi="Arial" w:cs="Arial"/>
          <w:sz w:val="20"/>
          <w:szCs w:val="20"/>
          <w:lang w:eastAsia="en-AU"/>
        </w:rPr>
        <w:t>Midwife Cath’s podcast – Professor Alison McMillan discusses COVID-19 vaccines and pregnancy – </w:t>
      </w:r>
      <w:hyperlink r:id="rId33" w:history="1">
        <w:r w:rsidRPr="00BA1B7B">
          <w:rPr>
            <w:rFonts w:ascii="Arial" w:eastAsia="Times New Roman" w:hAnsi="Arial" w:cs="Arial"/>
            <w:sz w:val="20"/>
            <w:szCs w:val="20"/>
            <w:u w:val="single"/>
            <w:lang w:eastAsia="en-AU"/>
          </w:rPr>
          <w:t>Birth, Baby and Beyond</w:t>
        </w:r>
      </w:hyperlink>
      <w:r w:rsidRPr="00BA1B7B">
        <w:rPr>
          <w:rFonts w:ascii="Arial" w:eastAsia="Times New Roman" w:hAnsi="Arial" w:cs="Arial"/>
          <w:sz w:val="20"/>
          <w:szCs w:val="20"/>
          <w:lang w:eastAsia="en-AU"/>
        </w:rPr>
        <w:t>.</w:t>
      </w:r>
    </w:p>
    <w:p w14:paraId="3FD67167" w14:textId="77777777" w:rsidR="00DC5066" w:rsidRPr="00BA1B7B" w:rsidRDefault="00DC5066" w:rsidP="00DC5066">
      <w:pPr>
        <w:spacing w:line="276" w:lineRule="auto"/>
        <w:rPr>
          <w:rFonts w:ascii="Arial" w:hAnsi="Arial" w:cs="Arial"/>
          <w:b/>
          <w:bCs/>
          <w:sz w:val="20"/>
          <w:szCs w:val="20"/>
        </w:rPr>
      </w:pPr>
    </w:p>
    <w:p w14:paraId="20C95C8E" w14:textId="77777777" w:rsidR="00DC5066" w:rsidRPr="00BA1B7B" w:rsidRDefault="00DC5066" w:rsidP="00DC5066">
      <w:pPr>
        <w:spacing w:line="276" w:lineRule="auto"/>
        <w:rPr>
          <w:rFonts w:ascii="Arial" w:hAnsi="Arial" w:cs="Arial"/>
          <w:b/>
          <w:bCs/>
          <w:sz w:val="20"/>
          <w:szCs w:val="20"/>
        </w:rPr>
      </w:pPr>
    </w:p>
    <w:p w14:paraId="67F068C8" w14:textId="77777777" w:rsidR="00DC5066" w:rsidRPr="00BA1B7B" w:rsidRDefault="00DC5066" w:rsidP="00DC5066">
      <w:pPr>
        <w:spacing w:line="276" w:lineRule="auto"/>
        <w:rPr>
          <w:rFonts w:ascii="Arial" w:hAnsi="Arial" w:cs="Arial"/>
          <w:b/>
          <w:bCs/>
          <w:sz w:val="20"/>
          <w:szCs w:val="20"/>
        </w:rPr>
      </w:pPr>
    </w:p>
    <w:p w14:paraId="0CF0BF83" w14:textId="77777777" w:rsidR="00DC5066" w:rsidRPr="00BA1B7B" w:rsidRDefault="00DC5066" w:rsidP="00DC5066">
      <w:pPr>
        <w:spacing w:line="276" w:lineRule="auto"/>
        <w:rPr>
          <w:rFonts w:ascii="Arial" w:hAnsi="Arial" w:cs="Arial"/>
          <w:b/>
          <w:bCs/>
          <w:sz w:val="20"/>
          <w:szCs w:val="20"/>
        </w:rPr>
      </w:pPr>
    </w:p>
    <w:p w14:paraId="0AEFCBED" w14:textId="77777777" w:rsidR="00DC5066" w:rsidRPr="00BA1B7B" w:rsidRDefault="00DC5066" w:rsidP="00DC5066">
      <w:pPr>
        <w:spacing w:line="276" w:lineRule="auto"/>
        <w:rPr>
          <w:rFonts w:ascii="Arial" w:hAnsi="Arial" w:cs="Arial"/>
          <w:b/>
          <w:bCs/>
          <w:sz w:val="20"/>
          <w:szCs w:val="20"/>
        </w:rPr>
      </w:pPr>
    </w:p>
    <w:p w14:paraId="2C6EF394" w14:textId="77777777" w:rsidR="00DC5066" w:rsidRPr="00BA1B7B" w:rsidRDefault="00DC5066" w:rsidP="00DC5066">
      <w:pPr>
        <w:spacing w:line="276" w:lineRule="auto"/>
        <w:rPr>
          <w:rFonts w:ascii="Arial" w:hAnsi="Arial" w:cs="Arial"/>
          <w:b/>
          <w:bCs/>
          <w:sz w:val="20"/>
          <w:szCs w:val="20"/>
        </w:rPr>
      </w:pPr>
    </w:p>
    <w:p w14:paraId="37833C40" w14:textId="77777777" w:rsidR="00DC5066" w:rsidRPr="00BA1B7B" w:rsidRDefault="00DC5066" w:rsidP="00DC5066">
      <w:pPr>
        <w:spacing w:line="276" w:lineRule="auto"/>
        <w:rPr>
          <w:rFonts w:ascii="Arial" w:hAnsi="Arial" w:cs="Arial"/>
          <w:b/>
          <w:bCs/>
          <w:sz w:val="20"/>
          <w:szCs w:val="20"/>
        </w:rPr>
      </w:pPr>
    </w:p>
    <w:p w14:paraId="40AB21AA" w14:textId="77777777" w:rsidR="00DC5066" w:rsidRPr="00BA1B7B" w:rsidRDefault="00DC5066" w:rsidP="00DC5066">
      <w:pPr>
        <w:spacing w:line="276" w:lineRule="auto"/>
        <w:rPr>
          <w:rFonts w:ascii="Arial" w:hAnsi="Arial" w:cs="Arial"/>
          <w:b/>
          <w:bCs/>
          <w:sz w:val="20"/>
          <w:szCs w:val="20"/>
        </w:rPr>
      </w:pPr>
    </w:p>
    <w:p w14:paraId="00375C5D" w14:textId="77777777" w:rsidR="00DC5066" w:rsidRPr="00BA1B7B" w:rsidRDefault="00DC5066" w:rsidP="00DC5066">
      <w:pPr>
        <w:spacing w:line="276" w:lineRule="auto"/>
        <w:rPr>
          <w:rFonts w:ascii="Arial" w:hAnsi="Arial" w:cs="Arial"/>
          <w:b/>
          <w:bCs/>
          <w:sz w:val="20"/>
          <w:szCs w:val="20"/>
        </w:rPr>
      </w:pPr>
    </w:p>
    <w:p w14:paraId="66DF1AF3" w14:textId="77777777" w:rsidR="00DC5066" w:rsidRPr="00BA1B7B" w:rsidRDefault="00DC5066" w:rsidP="00DC5066">
      <w:pPr>
        <w:spacing w:line="276" w:lineRule="auto"/>
        <w:rPr>
          <w:rFonts w:ascii="Arial" w:hAnsi="Arial" w:cs="Arial"/>
          <w:b/>
          <w:bCs/>
          <w:sz w:val="20"/>
          <w:szCs w:val="20"/>
        </w:rPr>
      </w:pPr>
    </w:p>
    <w:p w14:paraId="1819BAD7" w14:textId="77777777" w:rsidR="00DC5066" w:rsidRPr="00BA1B7B" w:rsidRDefault="00DC5066" w:rsidP="00DC5066">
      <w:pPr>
        <w:spacing w:line="276" w:lineRule="auto"/>
        <w:rPr>
          <w:rFonts w:ascii="Arial" w:hAnsi="Arial" w:cs="Arial"/>
          <w:b/>
          <w:bCs/>
          <w:sz w:val="20"/>
          <w:szCs w:val="20"/>
        </w:rPr>
      </w:pPr>
    </w:p>
    <w:p w14:paraId="2E2194CF" w14:textId="77777777" w:rsidR="00DC5066" w:rsidRPr="00BA1B7B" w:rsidRDefault="00DC5066" w:rsidP="00DC5066">
      <w:pPr>
        <w:spacing w:line="276" w:lineRule="auto"/>
        <w:rPr>
          <w:rFonts w:ascii="Arial" w:hAnsi="Arial" w:cs="Arial"/>
          <w:b/>
          <w:bCs/>
          <w:sz w:val="20"/>
          <w:szCs w:val="20"/>
        </w:rPr>
      </w:pPr>
    </w:p>
    <w:p w14:paraId="5956A6B5" w14:textId="77777777" w:rsidR="00DC5066" w:rsidRPr="00BA1B7B" w:rsidRDefault="00DC5066" w:rsidP="00DC5066">
      <w:pPr>
        <w:spacing w:line="276" w:lineRule="auto"/>
        <w:rPr>
          <w:rFonts w:ascii="Arial" w:hAnsi="Arial" w:cs="Arial"/>
          <w:b/>
          <w:bCs/>
          <w:sz w:val="20"/>
          <w:szCs w:val="20"/>
        </w:rPr>
      </w:pPr>
    </w:p>
    <w:p w14:paraId="6C4661F7" w14:textId="77777777" w:rsidR="00DC5066" w:rsidRPr="00BA1B7B" w:rsidRDefault="00DC5066" w:rsidP="00DC5066">
      <w:pPr>
        <w:spacing w:line="276" w:lineRule="auto"/>
        <w:rPr>
          <w:rFonts w:ascii="Arial" w:hAnsi="Arial" w:cs="Arial"/>
          <w:b/>
          <w:bCs/>
          <w:sz w:val="20"/>
          <w:szCs w:val="20"/>
        </w:rPr>
      </w:pPr>
    </w:p>
    <w:p w14:paraId="6329365E" w14:textId="77777777" w:rsidR="00DC5066" w:rsidRPr="00BA1B7B" w:rsidRDefault="00DC5066" w:rsidP="00DC5066">
      <w:pPr>
        <w:spacing w:line="276" w:lineRule="auto"/>
        <w:rPr>
          <w:rFonts w:ascii="Arial" w:hAnsi="Arial" w:cs="Arial"/>
          <w:b/>
          <w:bCs/>
          <w:sz w:val="20"/>
          <w:szCs w:val="20"/>
        </w:rPr>
      </w:pPr>
    </w:p>
    <w:p w14:paraId="3F1794E2" w14:textId="77777777" w:rsidR="00DC5066" w:rsidRPr="00BA1B7B" w:rsidRDefault="00DC5066" w:rsidP="00DC5066">
      <w:pPr>
        <w:spacing w:line="276" w:lineRule="auto"/>
        <w:rPr>
          <w:rFonts w:ascii="Arial" w:hAnsi="Arial" w:cs="Arial"/>
          <w:b/>
          <w:bCs/>
          <w:sz w:val="20"/>
          <w:szCs w:val="20"/>
        </w:rPr>
      </w:pPr>
    </w:p>
    <w:p w14:paraId="06B768B0" w14:textId="3710B0AE" w:rsidR="00DC5066" w:rsidRPr="00BA1B7B" w:rsidRDefault="00DC5066" w:rsidP="00DC5066">
      <w:pPr>
        <w:spacing w:line="276" w:lineRule="auto"/>
        <w:rPr>
          <w:rFonts w:ascii="Arial" w:hAnsi="Arial" w:cs="Arial"/>
          <w:b/>
          <w:bCs/>
          <w:sz w:val="20"/>
          <w:szCs w:val="20"/>
        </w:rPr>
      </w:pPr>
    </w:p>
    <w:p w14:paraId="1656E538" w14:textId="57C6DAF4" w:rsidR="00E009F0" w:rsidRPr="00BA1B7B" w:rsidRDefault="00E009F0" w:rsidP="00DC5066">
      <w:pPr>
        <w:spacing w:line="276" w:lineRule="auto"/>
        <w:rPr>
          <w:rFonts w:ascii="Arial" w:hAnsi="Arial" w:cs="Arial"/>
          <w:b/>
          <w:bCs/>
          <w:sz w:val="20"/>
          <w:szCs w:val="20"/>
        </w:rPr>
      </w:pPr>
    </w:p>
    <w:p w14:paraId="28E3AE28" w14:textId="69769C0E" w:rsidR="00E009F0" w:rsidRDefault="00E009F0" w:rsidP="00DC5066">
      <w:pPr>
        <w:spacing w:line="276" w:lineRule="auto"/>
        <w:rPr>
          <w:rFonts w:ascii="Arial" w:hAnsi="Arial" w:cs="Arial"/>
          <w:b/>
          <w:bCs/>
          <w:sz w:val="20"/>
          <w:szCs w:val="20"/>
        </w:rPr>
      </w:pPr>
    </w:p>
    <w:p w14:paraId="064DBA6D" w14:textId="6D9878A4" w:rsidR="005F1FD7" w:rsidRDefault="005F1FD7" w:rsidP="00DC5066">
      <w:pPr>
        <w:spacing w:line="276" w:lineRule="auto"/>
        <w:rPr>
          <w:rFonts w:ascii="Arial" w:hAnsi="Arial" w:cs="Arial"/>
          <w:b/>
          <w:bCs/>
          <w:sz w:val="20"/>
          <w:szCs w:val="20"/>
        </w:rPr>
      </w:pPr>
    </w:p>
    <w:p w14:paraId="0D59299C" w14:textId="77777777" w:rsidR="005F1FD7" w:rsidRPr="00BA1B7B" w:rsidRDefault="005F1FD7" w:rsidP="00DC5066">
      <w:pPr>
        <w:spacing w:line="276" w:lineRule="auto"/>
        <w:rPr>
          <w:rFonts w:ascii="Arial" w:hAnsi="Arial" w:cs="Arial"/>
          <w:b/>
          <w:bCs/>
          <w:sz w:val="20"/>
          <w:szCs w:val="20"/>
        </w:rPr>
      </w:pPr>
    </w:p>
    <w:p w14:paraId="5CC5BFF5" w14:textId="3BF55A38" w:rsidR="006923BD" w:rsidRPr="00BA1B7B" w:rsidRDefault="00DC5066" w:rsidP="0009654A">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23" w:name="_Toc120614286"/>
      <w:r w:rsidRPr="00BA1B7B">
        <w:rPr>
          <w:rFonts w:ascii="Arial" w:eastAsia="Times New Roman" w:hAnsi="Arial" w:cs="Arial"/>
          <w:b/>
          <w:bCs/>
          <w:sz w:val="20"/>
          <w:szCs w:val="20"/>
          <w:lang w:eastAsia="en-AU"/>
        </w:rPr>
        <w:t>4.0 Early Pregnancy and Standard Schedule of Visits and Investigations for GP shared care</w:t>
      </w:r>
      <w:bookmarkEnd w:id="23"/>
    </w:p>
    <w:p w14:paraId="14638451" w14:textId="02F3C47E" w:rsidR="00DC5066" w:rsidRPr="00BA1B7B" w:rsidRDefault="00DC5066" w:rsidP="00DC5066">
      <w:pPr>
        <w:spacing w:line="276" w:lineRule="auto"/>
        <w:rPr>
          <w:rFonts w:ascii="Arial" w:hAnsi="Arial" w:cs="Arial"/>
          <w:b/>
          <w:bCs/>
          <w:sz w:val="20"/>
          <w:szCs w:val="20"/>
        </w:rPr>
      </w:pPr>
      <w:r w:rsidRPr="00BA1B7B">
        <w:rPr>
          <w:rFonts w:ascii="Arial" w:hAnsi="Arial" w:cs="Arial"/>
          <w:sz w:val="20"/>
          <w:szCs w:val="20"/>
        </w:rPr>
        <w:t xml:space="preserve">Link to Eastern Health hand held record: </w:t>
      </w:r>
      <w:hyperlink r:id="rId34" w:history="1">
        <w:r w:rsidRPr="00BA1B7B">
          <w:rPr>
            <w:rFonts w:ascii="Arial" w:hAnsi="Arial" w:cs="Arial"/>
            <w:sz w:val="20"/>
            <w:szCs w:val="20"/>
            <w:u w:val="single"/>
          </w:rPr>
          <w:t>https://www.easternhealth.org.au/images/hand_held.pdf</w:t>
        </w:r>
      </w:hyperlink>
    </w:p>
    <w:p w14:paraId="48D7CAD4" w14:textId="74647BA8" w:rsidR="00DC5066" w:rsidRPr="00BA1B7B" w:rsidRDefault="00DC5066" w:rsidP="00DC5066">
      <w:pPr>
        <w:spacing w:line="276" w:lineRule="auto"/>
        <w:rPr>
          <w:rFonts w:ascii="Arial" w:hAnsi="Arial" w:cs="Arial"/>
          <w:sz w:val="20"/>
          <w:szCs w:val="20"/>
        </w:rPr>
      </w:pPr>
      <w:r w:rsidRPr="00BA1B7B">
        <w:rPr>
          <w:rFonts w:ascii="Arial" w:hAnsi="Arial" w:cs="Arial"/>
          <w:sz w:val="20"/>
          <w:szCs w:val="20"/>
        </w:rPr>
        <w:t>The following is the recommended standard schedule of visits for women with low-risk uncomplicated pregnancy. This schedule may vary slightly according to individual needs.</w:t>
      </w:r>
    </w:p>
    <w:p w14:paraId="4DE8DCFB" w14:textId="77777777" w:rsidR="00973DB3" w:rsidRPr="00BA1B7B" w:rsidRDefault="00973DB3" w:rsidP="00DC5066">
      <w:pPr>
        <w:spacing w:line="276" w:lineRule="auto"/>
        <w:rPr>
          <w:rFonts w:ascii="Arial" w:hAnsi="Arial" w:cs="Arial"/>
          <w:sz w:val="20"/>
          <w:szCs w:val="20"/>
        </w:rPr>
      </w:pPr>
    </w:p>
    <w:tbl>
      <w:tblPr>
        <w:tblStyle w:val="TableGridLight1"/>
        <w:tblW w:w="9918" w:type="dxa"/>
        <w:tblLook w:val="04A0" w:firstRow="1" w:lastRow="0" w:firstColumn="1" w:lastColumn="0" w:noHBand="0" w:noVBand="1"/>
      </w:tblPr>
      <w:tblGrid>
        <w:gridCol w:w="1958"/>
        <w:gridCol w:w="4558"/>
        <w:gridCol w:w="3402"/>
      </w:tblGrid>
      <w:tr w:rsidR="00DC5066" w:rsidRPr="00BA1B7B" w14:paraId="5CE30EEB" w14:textId="77777777" w:rsidTr="007A499C">
        <w:trPr>
          <w:trHeight w:val="644"/>
        </w:trPr>
        <w:tc>
          <w:tcPr>
            <w:tcW w:w="1958" w:type="dxa"/>
          </w:tcPr>
          <w:p w14:paraId="198CF1B9"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Gestation</w:t>
            </w:r>
          </w:p>
        </w:tc>
        <w:tc>
          <w:tcPr>
            <w:tcW w:w="4558" w:type="dxa"/>
          </w:tcPr>
          <w:p w14:paraId="4F21FD5B"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Recommended Appointments for GP shared care</w:t>
            </w:r>
          </w:p>
        </w:tc>
        <w:tc>
          <w:tcPr>
            <w:tcW w:w="3402" w:type="dxa"/>
          </w:tcPr>
          <w:p w14:paraId="660159E8"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 xml:space="preserve">Investigations </w:t>
            </w:r>
          </w:p>
        </w:tc>
      </w:tr>
      <w:tr w:rsidR="00DC5066" w:rsidRPr="00BA1B7B" w14:paraId="05B36F95" w14:textId="77777777" w:rsidTr="007A499C">
        <w:trPr>
          <w:trHeight w:val="212"/>
        </w:trPr>
        <w:tc>
          <w:tcPr>
            <w:tcW w:w="1958" w:type="dxa"/>
          </w:tcPr>
          <w:p w14:paraId="0DC02DF5"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 xml:space="preserve">6-12 weeks </w:t>
            </w:r>
          </w:p>
        </w:tc>
        <w:tc>
          <w:tcPr>
            <w:tcW w:w="4558" w:type="dxa"/>
          </w:tcPr>
          <w:p w14:paraId="20AFC8A7" w14:textId="77777777" w:rsidR="00DC5066" w:rsidRPr="00BA1B7B" w:rsidRDefault="00DC5066" w:rsidP="00D64801">
            <w:pPr>
              <w:rPr>
                <w:rFonts w:ascii="Arial" w:hAnsi="Arial" w:cs="Arial"/>
                <w:sz w:val="20"/>
                <w:szCs w:val="20"/>
              </w:rPr>
            </w:pPr>
            <w:r w:rsidRPr="00BA1B7B">
              <w:rPr>
                <w:rFonts w:ascii="Arial" w:hAnsi="Arial" w:cs="Arial"/>
                <w:b/>
                <w:bCs/>
                <w:sz w:val="20"/>
                <w:szCs w:val="20"/>
              </w:rPr>
              <w:t xml:space="preserve">GP visit </w:t>
            </w:r>
            <w:r w:rsidRPr="00BA1B7B">
              <w:rPr>
                <w:rFonts w:ascii="Arial" w:hAnsi="Arial" w:cs="Arial"/>
                <w:sz w:val="20"/>
                <w:szCs w:val="20"/>
              </w:rPr>
              <w:t>– confirmation of pregnancy</w:t>
            </w:r>
          </w:p>
          <w:p w14:paraId="12B16E6F" w14:textId="77777777" w:rsidR="00DC5066" w:rsidRPr="00BA1B7B" w:rsidRDefault="00DC5066" w:rsidP="00D64801">
            <w:pPr>
              <w:rPr>
                <w:rFonts w:ascii="Arial" w:hAnsi="Arial" w:cs="Arial"/>
                <w:b/>
                <w:bCs/>
                <w:sz w:val="20"/>
                <w:szCs w:val="20"/>
              </w:rPr>
            </w:pPr>
            <w:r w:rsidRPr="00BA1B7B">
              <w:rPr>
                <w:rFonts w:ascii="Arial" w:hAnsi="Arial" w:cs="Arial"/>
                <w:sz w:val="20"/>
                <w:szCs w:val="20"/>
              </w:rPr>
              <w:t>E-referral to EH maternity services</w:t>
            </w:r>
          </w:p>
        </w:tc>
        <w:tc>
          <w:tcPr>
            <w:tcW w:w="3402" w:type="dxa"/>
          </w:tcPr>
          <w:p w14:paraId="3BE661E8" w14:textId="77777777" w:rsidR="00DC5066" w:rsidRPr="00BA1B7B" w:rsidRDefault="00DC5066" w:rsidP="00D64801">
            <w:pPr>
              <w:rPr>
                <w:rFonts w:ascii="Arial" w:hAnsi="Arial" w:cs="Arial"/>
                <w:sz w:val="20"/>
                <w:szCs w:val="20"/>
              </w:rPr>
            </w:pPr>
            <w:r w:rsidRPr="00BA1B7B">
              <w:rPr>
                <w:rFonts w:ascii="Arial" w:hAnsi="Arial" w:cs="Arial"/>
                <w:sz w:val="20"/>
                <w:szCs w:val="20"/>
              </w:rPr>
              <w:t>Antenatal screening tests</w:t>
            </w:r>
          </w:p>
          <w:p w14:paraId="1046C2FF" w14:textId="77777777" w:rsidR="00DC5066" w:rsidRPr="00BA1B7B" w:rsidRDefault="00DC5066" w:rsidP="00D64801">
            <w:pPr>
              <w:rPr>
                <w:rFonts w:ascii="Arial" w:hAnsi="Arial" w:cs="Arial"/>
                <w:b/>
                <w:bCs/>
                <w:sz w:val="20"/>
                <w:szCs w:val="20"/>
              </w:rPr>
            </w:pPr>
            <w:r w:rsidRPr="00BA1B7B">
              <w:rPr>
                <w:rFonts w:ascii="Arial" w:hAnsi="Arial" w:cs="Arial"/>
                <w:sz w:val="20"/>
                <w:szCs w:val="20"/>
              </w:rPr>
              <w:t>See section 3.1 &amp; 4.2 for required &amp; recommended investigations</w:t>
            </w:r>
          </w:p>
        </w:tc>
      </w:tr>
      <w:tr w:rsidR="00DC5066" w:rsidRPr="00BA1B7B" w14:paraId="18708079" w14:textId="77777777" w:rsidTr="007A499C">
        <w:trPr>
          <w:trHeight w:val="212"/>
        </w:trPr>
        <w:tc>
          <w:tcPr>
            <w:tcW w:w="1958" w:type="dxa"/>
          </w:tcPr>
          <w:p w14:paraId="4FCC4A6B"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10-13 weeks</w:t>
            </w:r>
          </w:p>
        </w:tc>
        <w:tc>
          <w:tcPr>
            <w:tcW w:w="4558" w:type="dxa"/>
          </w:tcPr>
          <w:p w14:paraId="6B4FD9EA" w14:textId="77777777" w:rsidR="00DC5066" w:rsidRPr="00BA1B7B" w:rsidRDefault="00DC5066" w:rsidP="00D64801">
            <w:pPr>
              <w:rPr>
                <w:rFonts w:ascii="Arial" w:hAnsi="Arial" w:cs="Arial"/>
                <w:b/>
                <w:bCs/>
                <w:sz w:val="20"/>
                <w:szCs w:val="20"/>
              </w:rPr>
            </w:pPr>
          </w:p>
        </w:tc>
        <w:tc>
          <w:tcPr>
            <w:tcW w:w="3402" w:type="dxa"/>
          </w:tcPr>
          <w:p w14:paraId="7167C730" w14:textId="77777777" w:rsidR="00DC5066" w:rsidRPr="00BA1B7B" w:rsidRDefault="00DC5066" w:rsidP="00D64801">
            <w:pPr>
              <w:rPr>
                <w:rFonts w:ascii="Arial" w:hAnsi="Arial" w:cs="Arial"/>
                <w:sz w:val="20"/>
                <w:szCs w:val="20"/>
              </w:rPr>
            </w:pPr>
            <w:r w:rsidRPr="00BA1B7B">
              <w:rPr>
                <w:rFonts w:ascii="Arial" w:hAnsi="Arial" w:cs="Arial"/>
                <w:sz w:val="20"/>
                <w:szCs w:val="20"/>
              </w:rPr>
              <w:t xml:space="preserve">Genetic Screening - refer to 4.3 for options </w:t>
            </w:r>
          </w:p>
          <w:p w14:paraId="35516CE8" w14:textId="77777777" w:rsidR="00DC5066" w:rsidRPr="00BA1B7B" w:rsidRDefault="00DC5066" w:rsidP="004A22FD">
            <w:pPr>
              <w:pStyle w:val="ListParagraph"/>
              <w:numPr>
                <w:ilvl w:val="0"/>
                <w:numId w:val="5"/>
              </w:numPr>
              <w:spacing w:after="0" w:line="240" w:lineRule="auto"/>
              <w:rPr>
                <w:rFonts w:ascii="Arial" w:hAnsi="Arial" w:cs="Arial"/>
                <w:sz w:val="20"/>
                <w:szCs w:val="20"/>
              </w:rPr>
            </w:pPr>
            <w:r w:rsidRPr="00BA1B7B">
              <w:rPr>
                <w:rFonts w:ascii="Arial" w:hAnsi="Arial" w:cs="Arial"/>
                <w:sz w:val="20"/>
                <w:szCs w:val="20"/>
              </w:rPr>
              <w:t>Pathology</w:t>
            </w:r>
          </w:p>
          <w:p w14:paraId="0FCBCC7D" w14:textId="77777777" w:rsidR="00DC5066" w:rsidRPr="00BA1B7B" w:rsidRDefault="00DC5066" w:rsidP="004A22FD">
            <w:pPr>
              <w:pStyle w:val="ListParagraph"/>
              <w:numPr>
                <w:ilvl w:val="0"/>
                <w:numId w:val="5"/>
              </w:numPr>
              <w:spacing w:after="0" w:line="240" w:lineRule="auto"/>
              <w:rPr>
                <w:rFonts w:ascii="Arial" w:hAnsi="Arial" w:cs="Arial"/>
                <w:b/>
                <w:bCs/>
                <w:sz w:val="20"/>
                <w:szCs w:val="20"/>
              </w:rPr>
            </w:pPr>
            <w:r w:rsidRPr="00BA1B7B">
              <w:rPr>
                <w:rFonts w:ascii="Arial" w:hAnsi="Arial" w:cs="Arial"/>
                <w:sz w:val="20"/>
                <w:szCs w:val="20"/>
              </w:rPr>
              <w:t>Ultrasound</w:t>
            </w:r>
            <w:r w:rsidRPr="00BA1B7B">
              <w:rPr>
                <w:rFonts w:ascii="Arial" w:hAnsi="Arial" w:cs="Arial"/>
                <w:b/>
                <w:bCs/>
                <w:sz w:val="20"/>
                <w:szCs w:val="20"/>
              </w:rPr>
              <w:t xml:space="preserve"> </w:t>
            </w:r>
          </w:p>
        </w:tc>
      </w:tr>
      <w:tr w:rsidR="00DC5066" w:rsidRPr="00BA1B7B" w14:paraId="58A216BB" w14:textId="77777777" w:rsidTr="007A499C">
        <w:trPr>
          <w:trHeight w:val="221"/>
        </w:trPr>
        <w:tc>
          <w:tcPr>
            <w:tcW w:w="1958" w:type="dxa"/>
          </w:tcPr>
          <w:p w14:paraId="2EFD6A1D"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14 weeks</w:t>
            </w:r>
          </w:p>
        </w:tc>
        <w:tc>
          <w:tcPr>
            <w:tcW w:w="4558" w:type="dxa"/>
          </w:tcPr>
          <w:p w14:paraId="4ADCB14D"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 xml:space="preserve">Midwife Visit – </w:t>
            </w:r>
            <w:r w:rsidRPr="00BA1B7B">
              <w:rPr>
                <w:rFonts w:ascii="Arial" w:hAnsi="Arial" w:cs="Arial"/>
                <w:sz w:val="20"/>
                <w:szCs w:val="20"/>
              </w:rPr>
              <w:t>Hospital visit to orientate woman to EH Care</w:t>
            </w:r>
            <w:r w:rsidRPr="00BA1B7B">
              <w:rPr>
                <w:rFonts w:ascii="Arial" w:hAnsi="Arial" w:cs="Arial"/>
                <w:b/>
                <w:bCs/>
                <w:sz w:val="20"/>
                <w:szCs w:val="20"/>
              </w:rPr>
              <w:t xml:space="preserve"> </w:t>
            </w:r>
          </w:p>
        </w:tc>
        <w:tc>
          <w:tcPr>
            <w:tcW w:w="3402" w:type="dxa"/>
          </w:tcPr>
          <w:p w14:paraId="0F8ABDDA" w14:textId="77777777" w:rsidR="00DC5066" w:rsidRPr="00BA1B7B" w:rsidRDefault="00DC5066" w:rsidP="00D64801">
            <w:pPr>
              <w:rPr>
                <w:rFonts w:ascii="Arial" w:hAnsi="Arial" w:cs="Arial"/>
                <w:b/>
                <w:bCs/>
                <w:sz w:val="20"/>
                <w:szCs w:val="20"/>
              </w:rPr>
            </w:pPr>
          </w:p>
        </w:tc>
      </w:tr>
      <w:tr w:rsidR="00DC5066" w:rsidRPr="00BA1B7B" w14:paraId="4D7BDF4A" w14:textId="77777777" w:rsidTr="007A499C">
        <w:trPr>
          <w:trHeight w:val="212"/>
        </w:trPr>
        <w:tc>
          <w:tcPr>
            <w:tcW w:w="1958" w:type="dxa"/>
          </w:tcPr>
          <w:p w14:paraId="5D4EE929"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16 weeks</w:t>
            </w:r>
          </w:p>
        </w:tc>
        <w:tc>
          <w:tcPr>
            <w:tcW w:w="4558" w:type="dxa"/>
          </w:tcPr>
          <w:p w14:paraId="3753B2F2"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 xml:space="preserve">Senior Obstetrician Visit </w:t>
            </w:r>
            <w:r w:rsidRPr="00BA1B7B">
              <w:rPr>
                <w:rFonts w:ascii="Arial" w:hAnsi="Arial" w:cs="Arial"/>
                <w:sz w:val="20"/>
                <w:szCs w:val="20"/>
              </w:rPr>
              <w:t>– hospital-based visit to assess suitability for low-risk care</w:t>
            </w:r>
          </w:p>
        </w:tc>
        <w:tc>
          <w:tcPr>
            <w:tcW w:w="3402" w:type="dxa"/>
          </w:tcPr>
          <w:p w14:paraId="2104BAB8" w14:textId="77777777" w:rsidR="00DC5066" w:rsidRPr="00BA1B7B" w:rsidRDefault="00DC5066" w:rsidP="00D64801">
            <w:pPr>
              <w:rPr>
                <w:rFonts w:ascii="Arial" w:hAnsi="Arial" w:cs="Arial"/>
                <w:sz w:val="20"/>
                <w:szCs w:val="20"/>
              </w:rPr>
            </w:pPr>
            <w:r w:rsidRPr="00BA1B7B">
              <w:rPr>
                <w:rFonts w:ascii="Arial" w:hAnsi="Arial" w:cs="Arial"/>
                <w:sz w:val="20"/>
                <w:szCs w:val="20"/>
              </w:rPr>
              <w:t>20-week medical imaging request slip to be provided if not already by GP</w:t>
            </w:r>
          </w:p>
        </w:tc>
      </w:tr>
      <w:tr w:rsidR="00DC5066" w:rsidRPr="00BA1B7B" w14:paraId="022724F7" w14:textId="77777777" w:rsidTr="007A499C">
        <w:trPr>
          <w:trHeight w:val="212"/>
        </w:trPr>
        <w:tc>
          <w:tcPr>
            <w:tcW w:w="1958" w:type="dxa"/>
          </w:tcPr>
          <w:p w14:paraId="2431E770"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15-17 weeks</w:t>
            </w:r>
          </w:p>
        </w:tc>
        <w:tc>
          <w:tcPr>
            <w:tcW w:w="4558" w:type="dxa"/>
          </w:tcPr>
          <w:p w14:paraId="29886717" w14:textId="77777777" w:rsidR="00DC5066" w:rsidRPr="00BA1B7B" w:rsidRDefault="00DC5066" w:rsidP="00D64801">
            <w:pPr>
              <w:rPr>
                <w:rFonts w:ascii="Arial" w:hAnsi="Arial" w:cs="Arial"/>
                <w:b/>
                <w:bCs/>
                <w:sz w:val="20"/>
                <w:szCs w:val="20"/>
              </w:rPr>
            </w:pPr>
          </w:p>
        </w:tc>
        <w:tc>
          <w:tcPr>
            <w:tcW w:w="3402" w:type="dxa"/>
          </w:tcPr>
          <w:p w14:paraId="70E7A80E" w14:textId="77777777" w:rsidR="00DC5066" w:rsidRPr="00BA1B7B" w:rsidRDefault="00DC5066" w:rsidP="00D64801">
            <w:pPr>
              <w:rPr>
                <w:rFonts w:ascii="Arial" w:hAnsi="Arial" w:cs="Arial"/>
                <w:sz w:val="20"/>
                <w:szCs w:val="20"/>
              </w:rPr>
            </w:pPr>
            <w:r w:rsidRPr="00BA1B7B">
              <w:rPr>
                <w:rFonts w:ascii="Arial" w:hAnsi="Arial" w:cs="Arial"/>
                <w:sz w:val="20"/>
                <w:szCs w:val="20"/>
              </w:rPr>
              <w:t xml:space="preserve">Maternal serum screening to be considered if no NIPT or CSST not performed. </w:t>
            </w:r>
            <w:r w:rsidRPr="00BA1B7B">
              <w:rPr>
                <w:rFonts w:ascii="Arial" w:hAnsi="Arial" w:cs="Arial"/>
                <w:i/>
                <w:iCs/>
                <w:sz w:val="20"/>
                <w:szCs w:val="20"/>
              </w:rPr>
              <w:t>See section 4.3</w:t>
            </w:r>
          </w:p>
        </w:tc>
      </w:tr>
      <w:tr w:rsidR="00DC5066" w:rsidRPr="00BA1B7B" w14:paraId="2726F37E" w14:textId="77777777" w:rsidTr="007A499C">
        <w:trPr>
          <w:trHeight w:val="181"/>
        </w:trPr>
        <w:tc>
          <w:tcPr>
            <w:tcW w:w="1958" w:type="dxa"/>
          </w:tcPr>
          <w:p w14:paraId="32C1BF38"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20 - 22 weeks</w:t>
            </w:r>
          </w:p>
        </w:tc>
        <w:tc>
          <w:tcPr>
            <w:tcW w:w="4558" w:type="dxa"/>
          </w:tcPr>
          <w:p w14:paraId="4DD1969F" w14:textId="77777777" w:rsidR="00DC5066" w:rsidRPr="00BA1B7B" w:rsidRDefault="00DC5066" w:rsidP="00D64801">
            <w:pPr>
              <w:rPr>
                <w:rFonts w:ascii="Arial" w:hAnsi="Arial" w:cs="Arial"/>
                <w:b/>
                <w:bCs/>
                <w:sz w:val="20"/>
                <w:szCs w:val="20"/>
              </w:rPr>
            </w:pPr>
          </w:p>
        </w:tc>
        <w:tc>
          <w:tcPr>
            <w:tcW w:w="3402" w:type="dxa"/>
          </w:tcPr>
          <w:p w14:paraId="7C8C22FB" w14:textId="77777777" w:rsidR="00DC5066" w:rsidRPr="00BA1B7B" w:rsidRDefault="00DC5066" w:rsidP="00D64801">
            <w:pPr>
              <w:rPr>
                <w:rFonts w:ascii="Arial" w:hAnsi="Arial" w:cs="Arial"/>
                <w:sz w:val="20"/>
                <w:szCs w:val="20"/>
              </w:rPr>
            </w:pPr>
            <w:r w:rsidRPr="00BA1B7B">
              <w:rPr>
                <w:rFonts w:ascii="Arial" w:hAnsi="Arial" w:cs="Arial"/>
                <w:sz w:val="20"/>
                <w:szCs w:val="20"/>
              </w:rPr>
              <w:t xml:space="preserve">20-week Fetal Morphology Ultrasound – </w:t>
            </w:r>
            <w:r w:rsidRPr="00BA1B7B">
              <w:rPr>
                <w:rFonts w:ascii="Arial" w:hAnsi="Arial" w:cs="Arial"/>
                <w:i/>
                <w:iCs/>
                <w:sz w:val="20"/>
                <w:szCs w:val="20"/>
              </w:rPr>
              <w:t>See section 4.4</w:t>
            </w:r>
          </w:p>
        </w:tc>
      </w:tr>
      <w:tr w:rsidR="00DC5066" w:rsidRPr="00BA1B7B" w14:paraId="4B84B87E" w14:textId="77777777" w:rsidTr="007A499C">
        <w:trPr>
          <w:trHeight w:val="212"/>
        </w:trPr>
        <w:tc>
          <w:tcPr>
            <w:tcW w:w="1958" w:type="dxa"/>
          </w:tcPr>
          <w:p w14:paraId="1C57E970"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22 weeks</w:t>
            </w:r>
          </w:p>
        </w:tc>
        <w:tc>
          <w:tcPr>
            <w:tcW w:w="4558" w:type="dxa"/>
          </w:tcPr>
          <w:p w14:paraId="73A33E28"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 xml:space="preserve">GP visit </w:t>
            </w:r>
            <w:r w:rsidRPr="00BA1B7B">
              <w:rPr>
                <w:rFonts w:ascii="Arial" w:hAnsi="Arial" w:cs="Arial"/>
                <w:sz w:val="20"/>
                <w:szCs w:val="20"/>
              </w:rPr>
              <w:t>– review of 20-week morphology scan</w:t>
            </w:r>
            <w:r w:rsidRPr="00BA1B7B">
              <w:rPr>
                <w:rFonts w:ascii="Arial" w:hAnsi="Arial" w:cs="Arial"/>
                <w:b/>
                <w:bCs/>
                <w:sz w:val="20"/>
                <w:szCs w:val="20"/>
              </w:rPr>
              <w:t xml:space="preserve"> </w:t>
            </w:r>
          </w:p>
        </w:tc>
        <w:tc>
          <w:tcPr>
            <w:tcW w:w="3402" w:type="dxa"/>
          </w:tcPr>
          <w:p w14:paraId="589487E1" w14:textId="77777777" w:rsidR="00DC5066" w:rsidRPr="00BA1B7B" w:rsidRDefault="00DC5066" w:rsidP="00D64801">
            <w:pPr>
              <w:rPr>
                <w:rFonts w:ascii="Arial" w:hAnsi="Arial" w:cs="Arial"/>
                <w:sz w:val="20"/>
                <w:szCs w:val="20"/>
              </w:rPr>
            </w:pPr>
            <w:r w:rsidRPr="00BA1B7B">
              <w:rPr>
                <w:rFonts w:ascii="Arial" w:hAnsi="Arial" w:cs="Arial"/>
                <w:sz w:val="20"/>
                <w:szCs w:val="20"/>
              </w:rPr>
              <w:t xml:space="preserve">Pathology slips to be provided for </w:t>
            </w:r>
          </w:p>
          <w:p w14:paraId="552DAC9C" w14:textId="77777777" w:rsidR="00DC5066" w:rsidRPr="00BA1B7B" w:rsidRDefault="00DC5066" w:rsidP="00D64801">
            <w:pPr>
              <w:rPr>
                <w:rFonts w:ascii="Arial" w:hAnsi="Arial" w:cs="Arial"/>
                <w:sz w:val="20"/>
                <w:szCs w:val="20"/>
              </w:rPr>
            </w:pPr>
            <w:r w:rsidRPr="00BA1B7B">
              <w:rPr>
                <w:rFonts w:ascii="Arial" w:hAnsi="Arial" w:cs="Arial"/>
                <w:sz w:val="20"/>
                <w:szCs w:val="20"/>
              </w:rPr>
              <w:t>OGTT</w:t>
            </w:r>
          </w:p>
          <w:p w14:paraId="5443CFC3" w14:textId="77777777" w:rsidR="00DC5066" w:rsidRPr="00BA1B7B" w:rsidRDefault="00DC5066" w:rsidP="00D64801">
            <w:pPr>
              <w:rPr>
                <w:rFonts w:ascii="Arial" w:hAnsi="Arial" w:cs="Arial"/>
                <w:sz w:val="20"/>
                <w:szCs w:val="20"/>
              </w:rPr>
            </w:pPr>
            <w:r w:rsidRPr="00BA1B7B">
              <w:rPr>
                <w:rFonts w:ascii="Arial" w:hAnsi="Arial" w:cs="Arial"/>
                <w:sz w:val="20"/>
                <w:szCs w:val="20"/>
              </w:rPr>
              <w:t>FBE and iron studies</w:t>
            </w:r>
          </w:p>
          <w:p w14:paraId="488645AE" w14:textId="77777777" w:rsidR="00DC5066" w:rsidRPr="00BA1B7B" w:rsidRDefault="00DC5066" w:rsidP="00D64801">
            <w:pPr>
              <w:rPr>
                <w:rFonts w:ascii="Arial" w:hAnsi="Arial" w:cs="Arial"/>
                <w:sz w:val="20"/>
                <w:szCs w:val="20"/>
              </w:rPr>
            </w:pPr>
            <w:r w:rsidRPr="00BA1B7B">
              <w:rPr>
                <w:rFonts w:ascii="Arial" w:hAnsi="Arial" w:cs="Arial"/>
                <w:sz w:val="20"/>
                <w:szCs w:val="20"/>
              </w:rPr>
              <w:t>Blood Group &amp; Rhesus</w:t>
            </w:r>
          </w:p>
          <w:p w14:paraId="622BF5E2" w14:textId="77777777" w:rsidR="00DC5066" w:rsidRPr="00BA1B7B" w:rsidRDefault="00DC5066" w:rsidP="00D64801">
            <w:pPr>
              <w:rPr>
                <w:rFonts w:ascii="Arial" w:hAnsi="Arial" w:cs="Arial"/>
                <w:b/>
                <w:bCs/>
                <w:i/>
                <w:iCs/>
                <w:sz w:val="20"/>
                <w:szCs w:val="20"/>
              </w:rPr>
            </w:pPr>
            <w:r w:rsidRPr="00BA1B7B">
              <w:rPr>
                <w:rFonts w:ascii="Arial" w:hAnsi="Arial" w:cs="Arial"/>
                <w:i/>
                <w:iCs/>
                <w:sz w:val="20"/>
                <w:szCs w:val="20"/>
              </w:rPr>
              <w:lastRenderedPageBreak/>
              <w:t>See section 4.4</w:t>
            </w:r>
          </w:p>
        </w:tc>
      </w:tr>
      <w:tr w:rsidR="00DC5066" w:rsidRPr="00BA1B7B" w14:paraId="717496AD" w14:textId="77777777" w:rsidTr="007A499C">
        <w:trPr>
          <w:trHeight w:val="212"/>
        </w:trPr>
        <w:tc>
          <w:tcPr>
            <w:tcW w:w="1958" w:type="dxa"/>
          </w:tcPr>
          <w:p w14:paraId="3DA68800"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lastRenderedPageBreak/>
              <w:t>26 – 27+6 weeks</w:t>
            </w:r>
          </w:p>
        </w:tc>
        <w:tc>
          <w:tcPr>
            <w:tcW w:w="4558" w:type="dxa"/>
          </w:tcPr>
          <w:p w14:paraId="38BC33C1" w14:textId="77777777" w:rsidR="00DC5066" w:rsidRPr="00BA1B7B" w:rsidRDefault="00DC5066" w:rsidP="00D64801">
            <w:pPr>
              <w:rPr>
                <w:rFonts w:ascii="Arial" w:hAnsi="Arial" w:cs="Arial"/>
                <w:b/>
                <w:bCs/>
                <w:sz w:val="20"/>
                <w:szCs w:val="20"/>
              </w:rPr>
            </w:pPr>
          </w:p>
        </w:tc>
        <w:tc>
          <w:tcPr>
            <w:tcW w:w="3402" w:type="dxa"/>
          </w:tcPr>
          <w:p w14:paraId="271A3F18" w14:textId="77777777" w:rsidR="00DC5066" w:rsidRPr="00BA1B7B" w:rsidRDefault="00DC5066" w:rsidP="00D64801">
            <w:pPr>
              <w:rPr>
                <w:rFonts w:ascii="Arial" w:hAnsi="Arial" w:cs="Arial"/>
                <w:sz w:val="20"/>
                <w:szCs w:val="20"/>
              </w:rPr>
            </w:pPr>
            <w:r w:rsidRPr="00BA1B7B">
              <w:rPr>
                <w:rFonts w:ascii="Arial" w:hAnsi="Arial" w:cs="Arial"/>
                <w:sz w:val="20"/>
                <w:szCs w:val="20"/>
              </w:rPr>
              <w:t xml:space="preserve">Pathology investigations as stated above to be performed </w:t>
            </w:r>
          </w:p>
          <w:p w14:paraId="34F3363D" w14:textId="77777777" w:rsidR="00DC5066" w:rsidRPr="00BA1B7B" w:rsidRDefault="00DC5066" w:rsidP="00D64801">
            <w:pPr>
              <w:rPr>
                <w:rFonts w:ascii="Arial" w:hAnsi="Arial" w:cs="Arial"/>
                <w:sz w:val="20"/>
                <w:szCs w:val="20"/>
              </w:rPr>
            </w:pPr>
            <w:r w:rsidRPr="00BA1B7B">
              <w:rPr>
                <w:rFonts w:ascii="Arial" w:hAnsi="Arial" w:cs="Arial"/>
                <w:i/>
                <w:iCs/>
                <w:sz w:val="20"/>
                <w:szCs w:val="20"/>
              </w:rPr>
              <w:t>See section 4.4</w:t>
            </w:r>
          </w:p>
        </w:tc>
      </w:tr>
      <w:tr w:rsidR="00DC5066" w:rsidRPr="00BA1B7B" w14:paraId="7FD022D9" w14:textId="77777777" w:rsidTr="007A499C">
        <w:trPr>
          <w:trHeight w:val="212"/>
        </w:trPr>
        <w:tc>
          <w:tcPr>
            <w:tcW w:w="1958" w:type="dxa"/>
          </w:tcPr>
          <w:p w14:paraId="20C566DB"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28 weeks</w:t>
            </w:r>
          </w:p>
        </w:tc>
        <w:tc>
          <w:tcPr>
            <w:tcW w:w="4558" w:type="dxa"/>
          </w:tcPr>
          <w:p w14:paraId="5007AAB6"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 xml:space="preserve">Midwife Visit – </w:t>
            </w:r>
            <w:r w:rsidRPr="00BA1B7B">
              <w:rPr>
                <w:rFonts w:ascii="Arial" w:hAnsi="Arial" w:cs="Arial"/>
                <w:sz w:val="20"/>
                <w:szCs w:val="20"/>
              </w:rPr>
              <w:t xml:space="preserve">Hospital based visit to review pathology results and Anti D requirements </w:t>
            </w:r>
          </w:p>
        </w:tc>
        <w:tc>
          <w:tcPr>
            <w:tcW w:w="3402" w:type="dxa"/>
          </w:tcPr>
          <w:p w14:paraId="512CE913" w14:textId="77777777" w:rsidR="00DC5066" w:rsidRPr="00BA1B7B" w:rsidRDefault="00DC5066" w:rsidP="00D64801">
            <w:pPr>
              <w:rPr>
                <w:rFonts w:ascii="Arial" w:hAnsi="Arial" w:cs="Arial"/>
                <w:sz w:val="20"/>
                <w:szCs w:val="20"/>
              </w:rPr>
            </w:pPr>
            <w:r w:rsidRPr="00BA1B7B">
              <w:rPr>
                <w:rFonts w:ascii="Arial" w:hAnsi="Arial" w:cs="Arial"/>
                <w:sz w:val="20"/>
                <w:szCs w:val="20"/>
              </w:rPr>
              <w:t xml:space="preserve">GTT results reviewed and referral made if required. </w:t>
            </w:r>
          </w:p>
          <w:p w14:paraId="42F65964" w14:textId="77777777" w:rsidR="00DC5066" w:rsidRPr="00BA1B7B" w:rsidRDefault="00DC5066" w:rsidP="00D64801">
            <w:pPr>
              <w:rPr>
                <w:rFonts w:ascii="Arial" w:hAnsi="Arial" w:cs="Arial"/>
                <w:b/>
                <w:bCs/>
                <w:sz w:val="20"/>
                <w:szCs w:val="20"/>
              </w:rPr>
            </w:pPr>
            <w:r w:rsidRPr="00BA1B7B">
              <w:rPr>
                <w:rFonts w:ascii="Arial" w:hAnsi="Arial" w:cs="Arial"/>
                <w:sz w:val="20"/>
                <w:szCs w:val="20"/>
              </w:rPr>
              <w:t>Anti D administered if Rh Neg</w:t>
            </w:r>
          </w:p>
        </w:tc>
      </w:tr>
      <w:tr w:rsidR="00DC5066" w:rsidRPr="00BA1B7B" w14:paraId="4C11C19B" w14:textId="77777777" w:rsidTr="007A499C">
        <w:trPr>
          <w:trHeight w:val="212"/>
        </w:trPr>
        <w:tc>
          <w:tcPr>
            <w:tcW w:w="1958" w:type="dxa"/>
          </w:tcPr>
          <w:p w14:paraId="6ED5D0A5"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31 weeks</w:t>
            </w:r>
          </w:p>
        </w:tc>
        <w:tc>
          <w:tcPr>
            <w:tcW w:w="4558" w:type="dxa"/>
          </w:tcPr>
          <w:p w14:paraId="1BB246D9"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GP Visit</w:t>
            </w:r>
          </w:p>
        </w:tc>
        <w:tc>
          <w:tcPr>
            <w:tcW w:w="3402" w:type="dxa"/>
          </w:tcPr>
          <w:p w14:paraId="2154C4E1" w14:textId="77777777" w:rsidR="00DC5066" w:rsidRPr="00BA1B7B" w:rsidRDefault="00DC5066" w:rsidP="00D64801">
            <w:pPr>
              <w:rPr>
                <w:rFonts w:ascii="Arial" w:hAnsi="Arial" w:cs="Arial"/>
                <w:b/>
                <w:bCs/>
                <w:sz w:val="20"/>
                <w:szCs w:val="20"/>
              </w:rPr>
            </w:pPr>
          </w:p>
        </w:tc>
      </w:tr>
      <w:tr w:rsidR="00DC5066" w:rsidRPr="00BA1B7B" w14:paraId="3854B4FB" w14:textId="77777777" w:rsidTr="007A499C">
        <w:trPr>
          <w:trHeight w:val="212"/>
        </w:trPr>
        <w:tc>
          <w:tcPr>
            <w:tcW w:w="1958" w:type="dxa"/>
          </w:tcPr>
          <w:p w14:paraId="603D374A"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34 weeks</w:t>
            </w:r>
          </w:p>
        </w:tc>
        <w:tc>
          <w:tcPr>
            <w:tcW w:w="4558" w:type="dxa"/>
          </w:tcPr>
          <w:p w14:paraId="277F05E0"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GP Visit</w:t>
            </w:r>
          </w:p>
        </w:tc>
        <w:tc>
          <w:tcPr>
            <w:tcW w:w="3402" w:type="dxa"/>
          </w:tcPr>
          <w:p w14:paraId="4F111CBE" w14:textId="77777777" w:rsidR="00DC5066" w:rsidRPr="00BA1B7B" w:rsidRDefault="00DC5066" w:rsidP="00D64801">
            <w:pPr>
              <w:rPr>
                <w:rFonts w:ascii="Arial" w:hAnsi="Arial" w:cs="Arial"/>
                <w:sz w:val="20"/>
                <w:szCs w:val="20"/>
              </w:rPr>
            </w:pPr>
            <w:r w:rsidRPr="00BA1B7B">
              <w:rPr>
                <w:rFonts w:ascii="Arial" w:hAnsi="Arial" w:cs="Arial"/>
                <w:sz w:val="20"/>
                <w:szCs w:val="20"/>
              </w:rPr>
              <w:t>Woman to be referred to FMAC for 2</w:t>
            </w:r>
            <w:r w:rsidRPr="00BA1B7B">
              <w:rPr>
                <w:rFonts w:ascii="Arial" w:hAnsi="Arial" w:cs="Arial"/>
                <w:sz w:val="20"/>
                <w:szCs w:val="20"/>
                <w:vertAlign w:val="superscript"/>
              </w:rPr>
              <w:t>nd</w:t>
            </w:r>
            <w:r w:rsidRPr="00BA1B7B">
              <w:rPr>
                <w:rFonts w:ascii="Arial" w:hAnsi="Arial" w:cs="Arial"/>
                <w:sz w:val="20"/>
                <w:szCs w:val="20"/>
              </w:rPr>
              <w:t xml:space="preserve"> Anti D administration if rhesus negative</w:t>
            </w:r>
          </w:p>
          <w:p w14:paraId="5E8891F8" w14:textId="77777777" w:rsidR="00DC5066" w:rsidRPr="00BA1B7B" w:rsidRDefault="00DC5066" w:rsidP="00D64801">
            <w:pPr>
              <w:rPr>
                <w:rFonts w:ascii="Arial" w:hAnsi="Arial" w:cs="Arial"/>
                <w:sz w:val="20"/>
                <w:szCs w:val="20"/>
              </w:rPr>
            </w:pPr>
            <w:r w:rsidRPr="00BA1B7B">
              <w:rPr>
                <w:rFonts w:ascii="Arial" w:hAnsi="Arial" w:cs="Arial"/>
                <w:sz w:val="20"/>
                <w:szCs w:val="20"/>
              </w:rPr>
              <w:t xml:space="preserve">FBE/Iron studies ordered if required </w:t>
            </w:r>
            <w:r w:rsidRPr="00BA1B7B">
              <w:rPr>
                <w:rFonts w:ascii="Arial" w:hAnsi="Arial" w:cs="Arial"/>
                <w:i/>
                <w:iCs/>
                <w:sz w:val="20"/>
                <w:szCs w:val="20"/>
              </w:rPr>
              <w:t>(see section 4.5)</w:t>
            </w:r>
          </w:p>
        </w:tc>
      </w:tr>
      <w:tr w:rsidR="00DC5066" w:rsidRPr="00BA1B7B" w14:paraId="6CB76336" w14:textId="77777777" w:rsidTr="007A499C">
        <w:trPr>
          <w:trHeight w:val="212"/>
        </w:trPr>
        <w:tc>
          <w:tcPr>
            <w:tcW w:w="1958" w:type="dxa"/>
          </w:tcPr>
          <w:p w14:paraId="24AFCB84"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36 weeks</w:t>
            </w:r>
          </w:p>
        </w:tc>
        <w:tc>
          <w:tcPr>
            <w:tcW w:w="4558" w:type="dxa"/>
          </w:tcPr>
          <w:p w14:paraId="071F41A0"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Senior Obstetrician Visit – hospital based</w:t>
            </w:r>
          </w:p>
        </w:tc>
        <w:tc>
          <w:tcPr>
            <w:tcW w:w="3402" w:type="dxa"/>
          </w:tcPr>
          <w:p w14:paraId="55255337" w14:textId="77777777" w:rsidR="00DC5066" w:rsidRPr="00BA1B7B" w:rsidRDefault="00DC5066" w:rsidP="00D64801">
            <w:pPr>
              <w:rPr>
                <w:rFonts w:ascii="Arial" w:hAnsi="Arial" w:cs="Arial"/>
                <w:sz w:val="20"/>
                <w:szCs w:val="20"/>
              </w:rPr>
            </w:pPr>
            <w:r w:rsidRPr="00BA1B7B">
              <w:rPr>
                <w:rFonts w:ascii="Arial" w:hAnsi="Arial" w:cs="Arial"/>
                <w:sz w:val="20"/>
                <w:szCs w:val="20"/>
              </w:rPr>
              <w:t>GBS Screening Performed, GP to be included to receive results</w:t>
            </w:r>
          </w:p>
          <w:p w14:paraId="13F658BF" w14:textId="77777777" w:rsidR="00DC5066" w:rsidRPr="00BA1B7B" w:rsidRDefault="00DC5066" w:rsidP="00D64801">
            <w:pPr>
              <w:rPr>
                <w:rFonts w:ascii="Arial" w:hAnsi="Arial" w:cs="Arial"/>
                <w:i/>
                <w:iCs/>
                <w:sz w:val="20"/>
                <w:szCs w:val="20"/>
              </w:rPr>
            </w:pPr>
            <w:r w:rsidRPr="00BA1B7B">
              <w:rPr>
                <w:rFonts w:ascii="Arial" w:hAnsi="Arial" w:cs="Arial"/>
                <w:i/>
                <w:iCs/>
                <w:sz w:val="20"/>
                <w:szCs w:val="20"/>
              </w:rPr>
              <w:t>(see section 4.5)</w:t>
            </w:r>
          </w:p>
        </w:tc>
      </w:tr>
      <w:tr w:rsidR="00DC5066" w:rsidRPr="00BA1B7B" w14:paraId="7BAF2CEF" w14:textId="77777777" w:rsidTr="007A499C">
        <w:trPr>
          <w:trHeight w:val="212"/>
        </w:trPr>
        <w:tc>
          <w:tcPr>
            <w:tcW w:w="1958" w:type="dxa"/>
          </w:tcPr>
          <w:p w14:paraId="526607ED"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38 weeks</w:t>
            </w:r>
          </w:p>
        </w:tc>
        <w:tc>
          <w:tcPr>
            <w:tcW w:w="4558" w:type="dxa"/>
          </w:tcPr>
          <w:p w14:paraId="2F4AEBEF"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GP Visit</w:t>
            </w:r>
          </w:p>
        </w:tc>
        <w:tc>
          <w:tcPr>
            <w:tcW w:w="3402" w:type="dxa"/>
          </w:tcPr>
          <w:p w14:paraId="684A0BAF" w14:textId="77777777" w:rsidR="00DC5066" w:rsidRPr="00BA1B7B" w:rsidRDefault="00DC5066" w:rsidP="00D64801">
            <w:pPr>
              <w:rPr>
                <w:rFonts w:ascii="Arial" w:hAnsi="Arial" w:cs="Arial"/>
                <w:b/>
                <w:bCs/>
                <w:sz w:val="20"/>
                <w:szCs w:val="20"/>
              </w:rPr>
            </w:pPr>
          </w:p>
        </w:tc>
      </w:tr>
      <w:tr w:rsidR="00DC5066" w:rsidRPr="00BA1B7B" w14:paraId="2754CE03" w14:textId="77777777" w:rsidTr="007A499C">
        <w:trPr>
          <w:trHeight w:val="212"/>
        </w:trPr>
        <w:tc>
          <w:tcPr>
            <w:tcW w:w="1958" w:type="dxa"/>
          </w:tcPr>
          <w:p w14:paraId="0A5BD067"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40 weeks</w:t>
            </w:r>
          </w:p>
        </w:tc>
        <w:tc>
          <w:tcPr>
            <w:tcW w:w="4558" w:type="dxa"/>
          </w:tcPr>
          <w:p w14:paraId="7F56B164"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GP Visit</w:t>
            </w:r>
          </w:p>
        </w:tc>
        <w:tc>
          <w:tcPr>
            <w:tcW w:w="3402" w:type="dxa"/>
          </w:tcPr>
          <w:p w14:paraId="3BE04F73" w14:textId="77777777" w:rsidR="00DC5066" w:rsidRPr="00BA1B7B" w:rsidRDefault="00DC5066" w:rsidP="00D64801">
            <w:pPr>
              <w:rPr>
                <w:rFonts w:ascii="Arial" w:hAnsi="Arial" w:cs="Arial"/>
                <w:b/>
                <w:bCs/>
                <w:sz w:val="20"/>
                <w:szCs w:val="20"/>
              </w:rPr>
            </w:pPr>
          </w:p>
        </w:tc>
      </w:tr>
      <w:tr w:rsidR="00DC5066" w:rsidRPr="00BA1B7B" w14:paraId="69431C20" w14:textId="77777777" w:rsidTr="007A499C">
        <w:trPr>
          <w:trHeight w:val="212"/>
        </w:trPr>
        <w:tc>
          <w:tcPr>
            <w:tcW w:w="1958" w:type="dxa"/>
          </w:tcPr>
          <w:p w14:paraId="7B701DC1" w14:textId="77777777" w:rsidR="00DC5066" w:rsidRPr="00BA1B7B" w:rsidRDefault="00DC5066" w:rsidP="00D64801">
            <w:pPr>
              <w:rPr>
                <w:rFonts w:ascii="Arial" w:hAnsi="Arial" w:cs="Arial"/>
                <w:b/>
                <w:bCs/>
                <w:sz w:val="20"/>
                <w:szCs w:val="20"/>
              </w:rPr>
            </w:pPr>
            <w:r w:rsidRPr="00BA1B7B">
              <w:rPr>
                <w:rFonts w:ascii="Arial" w:hAnsi="Arial" w:cs="Arial"/>
                <w:b/>
                <w:bCs/>
                <w:sz w:val="20"/>
                <w:szCs w:val="20"/>
              </w:rPr>
              <w:t xml:space="preserve">41 weeks </w:t>
            </w:r>
          </w:p>
        </w:tc>
        <w:tc>
          <w:tcPr>
            <w:tcW w:w="4558" w:type="dxa"/>
          </w:tcPr>
          <w:p w14:paraId="17327F0F" w14:textId="77777777" w:rsidR="00DC5066" w:rsidRPr="00BA1B7B" w:rsidRDefault="00DC5066" w:rsidP="00D64801">
            <w:pPr>
              <w:rPr>
                <w:rFonts w:ascii="Arial" w:hAnsi="Arial" w:cs="Arial"/>
                <w:sz w:val="20"/>
                <w:szCs w:val="20"/>
              </w:rPr>
            </w:pPr>
            <w:r w:rsidRPr="00BA1B7B">
              <w:rPr>
                <w:rFonts w:ascii="Arial" w:hAnsi="Arial" w:cs="Arial"/>
                <w:b/>
                <w:bCs/>
                <w:sz w:val="20"/>
                <w:szCs w:val="20"/>
              </w:rPr>
              <w:t>Midwife Visit</w:t>
            </w:r>
            <w:r w:rsidRPr="00BA1B7B">
              <w:rPr>
                <w:rFonts w:ascii="Arial" w:hAnsi="Arial" w:cs="Arial"/>
                <w:sz w:val="20"/>
                <w:szCs w:val="20"/>
              </w:rPr>
              <w:t xml:space="preserve"> – Hospital based visit for Induction of labour (IOL) plan</w:t>
            </w:r>
          </w:p>
        </w:tc>
        <w:tc>
          <w:tcPr>
            <w:tcW w:w="3402" w:type="dxa"/>
          </w:tcPr>
          <w:p w14:paraId="0741255D" w14:textId="77777777" w:rsidR="00DC5066" w:rsidRPr="00BA1B7B" w:rsidRDefault="00DC5066" w:rsidP="00D64801">
            <w:pPr>
              <w:rPr>
                <w:rFonts w:ascii="Arial" w:hAnsi="Arial" w:cs="Arial"/>
                <w:sz w:val="20"/>
                <w:szCs w:val="20"/>
              </w:rPr>
            </w:pPr>
            <w:r w:rsidRPr="00BA1B7B">
              <w:rPr>
                <w:rFonts w:ascii="Arial" w:hAnsi="Arial" w:cs="Arial"/>
                <w:sz w:val="20"/>
                <w:szCs w:val="20"/>
              </w:rPr>
              <w:t xml:space="preserve">Fetal Monitoring appointment organized for CTG, AFI and IOL plan </w:t>
            </w:r>
          </w:p>
        </w:tc>
      </w:tr>
    </w:tbl>
    <w:p w14:paraId="4E9AF26F" w14:textId="77777777" w:rsidR="00DC5066" w:rsidRPr="00BA1B7B" w:rsidRDefault="00DC5066" w:rsidP="00DC5066">
      <w:pPr>
        <w:spacing w:line="276" w:lineRule="auto"/>
      </w:pPr>
    </w:p>
    <w:p w14:paraId="5A284301" w14:textId="26023134" w:rsidR="00DC5066" w:rsidRPr="00BA1B7B" w:rsidRDefault="00DC5066"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24" w:name="_Toc120614287"/>
      <w:r w:rsidRPr="00BA1B7B">
        <w:rPr>
          <w:rFonts w:ascii="Arial" w:eastAsia="Times New Roman" w:hAnsi="Arial" w:cs="Arial"/>
          <w:b/>
          <w:bCs/>
          <w:sz w:val="20"/>
          <w:szCs w:val="20"/>
          <w:lang w:eastAsia="en-AU"/>
        </w:rPr>
        <w:t>4.1 GP Booking Visit – Confirmation of Pregnancy</w:t>
      </w:r>
      <w:bookmarkEnd w:id="24"/>
    </w:p>
    <w:p w14:paraId="559F70D4" w14:textId="77777777" w:rsidR="00DC5066" w:rsidRPr="00BA1B7B" w:rsidRDefault="00DC5066" w:rsidP="00DC5066">
      <w:pPr>
        <w:spacing w:line="276" w:lineRule="auto"/>
        <w:rPr>
          <w:rStyle w:val="Hyperlink"/>
          <w:rFonts w:ascii="Arial" w:hAnsi="Arial" w:cs="Arial"/>
          <w:color w:val="auto"/>
          <w:sz w:val="20"/>
          <w:szCs w:val="20"/>
        </w:rPr>
      </w:pPr>
      <w:r w:rsidRPr="00BA1B7B">
        <w:rPr>
          <w:rFonts w:ascii="Arial" w:hAnsi="Arial" w:cs="Arial"/>
          <w:i/>
          <w:iCs/>
          <w:sz w:val="20"/>
          <w:szCs w:val="20"/>
        </w:rPr>
        <w:t>This visit is ideally performed prior to 10 weeks pregnancy</w:t>
      </w:r>
      <w:r w:rsidRPr="00BA1B7B">
        <w:rPr>
          <w:rFonts w:ascii="Arial" w:hAnsi="Arial" w:cs="Arial"/>
          <w:sz w:val="20"/>
          <w:szCs w:val="20"/>
        </w:rPr>
        <w:t xml:space="preserve">To refer a woman to a hospital for maternity care, the general practitioner (GP) should complete and send an e-referral after pregnancy is confirmed, see link </w:t>
      </w:r>
      <w:hyperlink r:id="rId35" w:history="1">
        <w:r w:rsidRPr="00BA1B7B">
          <w:rPr>
            <w:rStyle w:val="Hyperlink"/>
            <w:rFonts w:ascii="Arial" w:hAnsi="Arial" w:cs="Arial"/>
            <w:color w:val="auto"/>
            <w:sz w:val="20"/>
            <w:szCs w:val="20"/>
          </w:rPr>
          <w:t>https://au.healthlink.net/au_registration/</w:t>
        </w:r>
      </w:hyperlink>
    </w:p>
    <w:p w14:paraId="60B84B55" w14:textId="77777777" w:rsidR="00DC5066" w:rsidRPr="00BA1B7B" w:rsidRDefault="00DC5066" w:rsidP="00DC5066">
      <w:pPr>
        <w:spacing w:line="276" w:lineRule="auto"/>
        <w:rPr>
          <w:rFonts w:ascii="Arial" w:hAnsi="Arial" w:cs="Arial"/>
          <w:sz w:val="20"/>
          <w:szCs w:val="20"/>
        </w:rPr>
      </w:pPr>
      <w:r w:rsidRPr="00BA1B7B">
        <w:rPr>
          <w:rFonts w:ascii="Arial" w:hAnsi="Arial" w:cs="Arial"/>
          <w:sz w:val="20"/>
          <w:szCs w:val="20"/>
        </w:rPr>
        <w:t>GPs to provide all relevant information and referrals should be completed as directed within the form.</w:t>
      </w:r>
    </w:p>
    <w:p w14:paraId="192EDF50" w14:textId="77777777" w:rsidR="00DC5066" w:rsidRPr="00BA1B7B" w:rsidRDefault="00DC5066" w:rsidP="00DC5066">
      <w:pPr>
        <w:spacing w:line="276" w:lineRule="auto"/>
        <w:rPr>
          <w:rFonts w:ascii="Arial" w:hAnsi="Arial" w:cs="Arial"/>
          <w:sz w:val="20"/>
          <w:szCs w:val="20"/>
          <w:highlight w:val="yellow"/>
        </w:rPr>
      </w:pPr>
    </w:p>
    <w:p w14:paraId="3639B4F6" w14:textId="77777777" w:rsidR="00DC5066" w:rsidRPr="00BA1B7B" w:rsidRDefault="00DC5066" w:rsidP="00DC5066">
      <w:pPr>
        <w:spacing w:line="276" w:lineRule="auto"/>
        <w:rPr>
          <w:rFonts w:ascii="Arial" w:hAnsi="Arial" w:cs="Arial"/>
          <w:sz w:val="20"/>
          <w:szCs w:val="20"/>
        </w:rPr>
      </w:pPr>
      <w:r w:rsidRPr="00BA1B7B">
        <w:rPr>
          <w:rFonts w:ascii="Arial" w:hAnsi="Arial" w:cs="Arial"/>
          <w:sz w:val="20"/>
          <w:szCs w:val="20"/>
        </w:rPr>
        <w:t>Practices without conformant software can register for a ‘free’ Health Link Portal licence by completing the online registration form and notate in the Comments/Message field that you would like to use the Smart Forms and select the two checkboxes - Receive Electronic Correspondence (Free of charge) and Send Electronic Smart Forms (My Aged Care, Transport for NSW, Monash Health etc).</w:t>
      </w:r>
    </w:p>
    <w:p w14:paraId="5EE02459" w14:textId="77777777" w:rsidR="00DC5066" w:rsidRPr="00BA1B7B" w:rsidRDefault="00DC5066" w:rsidP="00DC5066">
      <w:pPr>
        <w:spacing w:line="276" w:lineRule="auto"/>
        <w:rPr>
          <w:rFonts w:ascii="Arial" w:hAnsi="Arial" w:cs="Arial"/>
          <w:sz w:val="20"/>
          <w:szCs w:val="20"/>
        </w:rPr>
      </w:pPr>
    </w:p>
    <w:p w14:paraId="57DF4226" w14:textId="77777777" w:rsidR="00DC5066" w:rsidRPr="00BA1B7B" w:rsidRDefault="00DC5066" w:rsidP="00DC5066">
      <w:pPr>
        <w:spacing w:line="276" w:lineRule="auto"/>
        <w:rPr>
          <w:rFonts w:ascii="Arial" w:hAnsi="Arial" w:cs="Arial"/>
          <w:sz w:val="20"/>
          <w:szCs w:val="20"/>
        </w:rPr>
      </w:pPr>
      <w:r w:rsidRPr="00BA1B7B">
        <w:rPr>
          <w:rFonts w:ascii="Arial" w:hAnsi="Arial" w:cs="Arial"/>
          <w:sz w:val="20"/>
          <w:szCs w:val="20"/>
        </w:rPr>
        <w:t xml:space="preserve"> Completing the E-referral will ensure timely access to appropriate level of maternity care. Women will be contacted directly about their appointments.</w:t>
      </w:r>
    </w:p>
    <w:p w14:paraId="2AF98126" w14:textId="77777777" w:rsidR="00DC5066" w:rsidRPr="00BA1B7B" w:rsidRDefault="00DC5066" w:rsidP="00DC5066">
      <w:pPr>
        <w:spacing w:line="276" w:lineRule="auto"/>
        <w:rPr>
          <w:rFonts w:ascii="Arial" w:hAnsi="Arial" w:cs="Arial"/>
          <w:b/>
          <w:bCs/>
          <w:sz w:val="20"/>
          <w:szCs w:val="20"/>
        </w:rPr>
      </w:pPr>
    </w:p>
    <w:p w14:paraId="40DC6460" w14:textId="77777777" w:rsidR="00DC5066" w:rsidRPr="00BA1B7B" w:rsidRDefault="00DC5066" w:rsidP="00DC5066">
      <w:pPr>
        <w:spacing w:line="276" w:lineRule="auto"/>
        <w:rPr>
          <w:rFonts w:ascii="Arial" w:hAnsi="Arial" w:cs="Arial"/>
          <w:b/>
          <w:bCs/>
          <w:sz w:val="20"/>
          <w:szCs w:val="20"/>
        </w:rPr>
      </w:pPr>
      <w:r w:rsidRPr="00BA1B7B">
        <w:rPr>
          <w:rFonts w:ascii="Arial" w:hAnsi="Arial" w:cs="Arial"/>
          <w:b/>
          <w:bCs/>
          <w:sz w:val="20"/>
          <w:szCs w:val="20"/>
        </w:rPr>
        <w:t>Antenatal Screening: (Further information relating to antenatal screening in section 5)</w:t>
      </w:r>
    </w:p>
    <w:p w14:paraId="62037AFC" w14:textId="77777777" w:rsidR="00DC5066" w:rsidRPr="00BA1B7B" w:rsidRDefault="00DC5066" w:rsidP="00DC5066">
      <w:pPr>
        <w:spacing w:line="276" w:lineRule="auto"/>
        <w:rPr>
          <w:rFonts w:ascii="Arial" w:hAnsi="Arial" w:cs="Arial"/>
          <w:sz w:val="20"/>
          <w:szCs w:val="20"/>
        </w:rPr>
      </w:pPr>
      <w:r w:rsidRPr="00BA1B7B">
        <w:rPr>
          <w:rFonts w:ascii="Arial" w:hAnsi="Arial" w:cs="Arial"/>
          <w:sz w:val="20"/>
          <w:szCs w:val="20"/>
        </w:rPr>
        <w:t>The following antenatal screening tests should be discussed in regard to the benefits and limitations of these, and ordered as appropriate:</w:t>
      </w:r>
    </w:p>
    <w:p w14:paraId="3A91F3A8" w14:textId="77777777" w:rsidR="00DC5066" w:rsidRPr="00BA1B7B" w:rsidRDefault="00DC5066" w:rsidP="00DC5066">
      <w:pPr>
        <w:spacing w:line="276" w:lineRule="auto"/>
        <w:rPr>
          <w:rFonts w:ascii="Arial" w:hAnsi="Arial" w:cs="Arial"/>
          <w:b/>
          <w:bCs/>
          <w:sz w:val="20"/>
          <w:szCs w:val="20"/>
        </w:rPr>
      </w:pPr>
      <w:r w:rsidRPr="00BA1B7B">
        <w:rPr>
          <w:rFonts w:ascii="Arial" w:hAnsi="Arial" w:cs="Arial"/>
          <w:sz w:val="20"/>
          <w:szCs w:val="20"/>
        </w:rPr>
        <w:t>Required</w:t>
      </w:r>
    </w:p>
    <w:p w14:paraId="0C3D5345"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Blood Group and Antibody Screen</w:t>
      </w:r>
    </w:p>
    <w:p w14:paraId="27B02C60"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Full Blood examination (FBE)</w:t>
      </w:r>
    </w:p>
    <w:p w14:paraId="2CA31C18"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Ferritin</w:t>
      </w:r>
    </w:p>
    <w:p w14:paraId="0879878F"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 xml:space="preserve">Rubella </w:t>
      </w:r>
    </w:p>
    <w:p w14:paraId="39522D53"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 xml:space="preserve">Syphilis Serology </w:t>
      </w:r>
    </w:p>
    <w:p w14:paraId="20A1A1B8"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Mid-Stream Urine (MSU) sample for bacteriuria</w:t>
      </w:r>
    </w:p>
    <w:p w14:paraId="73C5DE24"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lastRenderedPageBreak/>
        <w:t xml:space="preserve">Hepatitis B and C Virus </w:t>
      </w:r>
    </w:p>
    <w:p w14:paraId="08E8042A"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Human Immunodeficiency Virus (HIV)</w:t>
      </w:r>
    </w:p>
    <w:p w14:paraId="47F4871D" w14:textId="77777777" w:rsidR="00DC5066" w:rsidRPr="00BA1B7B" w:rsidRDefault="00DC5066" w:rsidP="00DC5066">
      <w:pPr>
        <w:spacing w:line="276" w:lineRule="auto"/>
        <w:rPr>
          <w:rFonts w:ascii="Arial" w:hAnsi="Arial" w:cs="Arial"/>
          <w:sz w:val="20"/>
          <w:szCs w:val="20"/>
        </w:rPr>
      </w:pPr>
      <w:r w:rsidRPr="00BA1B7B">
        <w:rPr>
          <w:rFonts w:ascii="Arial" w:hAnsi="Arial" w:cs="Arial"/>
          <w:sz w:val="20"/>
          <w:szCs w:val="20"/>
        </w:rPr>
        <w:t>Optional – as indicated</w:t>
      </w:r>
    </w:p>
    <w:p w14:paraId="0AF044CC"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Vitamin D Screening – if indicated</w:t>
      </w:r>
    </w:p>
    <w:p w14:paraId="3E8BF0BE"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Thyroid function – indicated by risk factors as per the MBS funding requirements</w:t>
      </w:r>
    </w:p>
    <w:p w14:paraId="199F906D"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Varicella Screening if the patient is unsure of status</w:t>
      </w:r>
    </w:p>
    <w:p w14:paraId="1974728D"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Cervical screen for HPV – if not performed within the last 5 years</w:t>
      </w:r>
    </w:p>
    <w:p w14:paraId="235B539B"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Chlamydia screening if indicated (age&lt;25years)</w:t>
      </w:r>
    </w:p>
    <w:p w14:paraId="01A3269F"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Thalassaemia screening</w:t>
      </w:r>
    </w:p>
    <w:p w14:paraId="6B0D55E9" w14:textId="4717C16B"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Renal function and uPCR if indicated eg HT</w:t>
      </w:r>
      <w:r w:rsidR="006923BD" w:rsidRPr="00BA1B7B">
        <w:rPr>
          <w:rFonts w:ascii="Arial" w:hAnsi="Arial" w:cs="Arial"/>
          <w:sz w:val="20"/>
          <w:szCs w:val="20"/>
        </w:rPr>
        <w:t>/ increased BMI</w:t>
      </w:r>
      <w:r w:rsidRPr="00BA1B7B">
        <w:rPr>
          <w:rFonts w:ascii="Arial" w:hAnsi="Arial" w:cs="Arial"/>
          <w:sz w:val="20"/>
          <w:szCs w:val="20"/>
        </w:rPr>
        <w:t xml:space="preserve"> or previous PET/SGA/PTB</w:t>
      </w:r>
    </w:p>
    <w:p w14:paraId="79A5B5AB" w14:textId="77777777" w:rsidR="00DC5066" w:rsidRPr="00BA1B7B" w:rsidRDefault="00DC5066" w:rsidP="00DC5066">
      <w:pPr>
        <w:spacing w:line="276" w:lineRule="auto"/>
        <w:rPr>
          <w:rFonts w:ascii="Arial" w:hAnsi="Arial" w:cs="Arial"/>
          <w:b/>
          <w:bCs/>
          <w:sz w:val="20"/>
          <w:szCs w:val="20"/>
        </w:rPr>
      </w:pPr>
    </w:p>
    <w:p w14:paraId="65374765" w14:textId="77777777" w:rsidR="00DC5066" w:rsidRPr="00BA1B7B" w:rsidRDefault="00DC5066" w:rsidP="00DC5066">
      <w:pPr>
        <w:spacing w:line="276" w:lineRule="auto"/>
        <w:rPr>
          <w:rFonts w:ascii="Arial" w:hAnsi="Arial" w:cs="Arial"/>
          <w:b/>
          <w:bCs/>
          <w:sz w:val="20"/>
          <w:szCs w:val="20"/>
        </w:rPr>
      </w:pPr>
      <w:r w:rsidRPr="00BA1B7B">
        <w:rPr>
          <w:rFonts w:ascii="Arial" w:hAnsi="Arial" w:cs="Arial"/>
          <w:b/>
          <w:bCs/>
          <w:sz w:val="20"/>
          <w:szCs w:val="20"/>
        </w:rPr>
        <w:t xml:space="preserve">Medical Imaging – </w:t>
      </w:r>
    </w:p>
    <w:p w14:paraId="14BAEBA6" w14:textId="77777777" w:rsidR="00DC5066" w:rsidRPr="00BA1B7B" w:rsidRDefault="00DC5066" w:rsidP="00DC5066">
      <w:pPr>
        <w:spacing w:line="276" w:lineRule="auto"/>
        <w:rPr>
          <w:rFonts w:ascii="Arial" w:hAnsi="Arial" w:cs="Arial"/>
          <w:sz w:val="20"/>
          <w:szCs w:val="20"/>
        </w:rPr>
      </w:pPr>
      <w:r w:rsidRPr="00BA1B7B">
        <w:rPr>
          <w:rFonts w:ascii="Arial" w:hAnsi="Arial" w:cs="Arial"/>
          <w:sz w:val="20"/>
          <w:szCs w:val="20"/>
        </w:rPr>
        <w:t>The following medical imaging should be discussed and offered where appropriate</w:t>
      </w:r>
    </w:p>
    <w:p w14:paraId="1A4FA408" w14:textId="77777777" w:rsidR="006923BD" w:rsidRPr="00BA1B7B" w:rsidRDefault="006923BD" w:rsidP="00DC5066">
      <w:pPr>
        <w:spacing w:line="276" w:lineRule="auto"/>
        <w:rPr>
          <w:rFonts w:ascii="Arial" w:hAnsi="Arial" w:cs="Arial"/>
          <w:b/>
          <w:bCs/>
          <w:sz w:val="20"/>
          <w:szCs w:val="20"/>
        </w:rPr>
      </w:pPr>
      <w:bookmarkStart w:id="25" w:name="_Hlk45886656"/>
    </w:p>
    <w:p w14:paraId="61EEFFBE" w14:textId="75640CE5" w:rsidR="00DC5066" w:rsidRPr="00BA1B7B" w:rsidRDefault="00DC5066" w:rsidP="00DC5066">
      <w:pPr>
        <w:spacing w:line="276" w:lineRule="auto"/>
        <w:rPr>
          <w:rFonts w:ascii="Arial" w:hAnsi="Arial" w:cs="Arial"/>
          <w:sz w:val="20"/>
          <w:szCs w:val="20"/>
        </w:rPr>
      </w:pPr>
      <w:r w:rsidRPr="00BA1B7B">
        <w:rPr>
          <w:rFonts w:ascii="Arial" w:hAnsi="Arial" w:cs="Arial"/>
          <w:b/>
          <w:bCs/>
          <w:sz w:val="20"/>
          <w:szCs w:val="20"/>
        </w:rPr>
        <w:t>Dating Scans</w:t>
      </w:r>
      <w:r w:rsidRPr="00BA1B7B">
        <w:rPr>
          <w:rFonts w:ascii="Arial" w:hAnsi="Arial" w:cs="Arial"/>
          <w:sz w:val="20"/>
          <w:szCs w:val="20"/>
        </w:rPr>
        <w:t xml:space="preserve"> - If there is uncertainty about EDC, then a dating scan should be offered. This should occur between 8 weeks and 0 days and 13 weeks 6 days. This scan can be used to determine gestational age, detect multiple pregnancies and accurately time fetal anomaly testing. </w:t>
      </w:r>
    </w:p>
    <w:bookmarkStart w:id="26" w:name="_Hlk48133676"/>
    <w:p w14:paraId="28D5FDF5" w14:textId="77777777" w:rsidR="00DC5066" w:rsidRPr="00BA1B7B" w:rsidRDefault="00DC5066" w:rsidP="00DC5066">
      <w:pPr>
        <w:spacing w:line="276" w:lineRule="auto"/>
        <w:rPr>
          <w:rFonts w:ascii="Arial" w:hAnsi="Arial" w:cs="Arial"/>
          <w:sz w:val="20"/>
          <w:szCs w:val="20"/>
        </w:rPr>
      </w:pPr>
      <w:r w:rsidRPr="00BA1B7B">
        <w:fldChar w:fldCharType="begin"/>
      </w:r>
      <w:r w:rsidRPr="00BA1B7B">
        <w:rPr>
          <w:rFonts w:ascii="Arial" w:hAnsi="Arial" w:cs="Arial"/>
          <w:sz w:val="20"/>
          <w:szCs w:val="20"/>
        </w:rPr>
        <w:instrText xml:space="preserve"> HYPERLINK "https://www.health.gov.au/resources/pregnancy-care-guidelines/part-d-clinical-assessments/gestational-age" </w:instrText>
      </w:r>
      <w:r w:rsidRPr="00BA1B7B">
        <w:fldChar w:fldCharType="separate"/>
      </w:r>
      <w:r w:rsidRPr="00BA1B7B">
        <w:rPr>
          <w:rStyle w:val="Hyperlink"/>
          <w:rFonts w:ascii="Arial" w:hAnsi="Arial" w:cs="Arial"/>
          <w:color w:val="auto"/>
          <w:sz w:val="20"/>
          <w:szCs w:val="20"/>
        </w:rPr>
        <w:t>https://www.health.gov.au/resources/pregnancy-care-guidelines/part-d-clinical-assessments/gestational-age</w:t>
      </w:r>
      <w:r w:rsidRPr="00BA1B7B">
        <w:rPr>
          <w:rStyle w:val="Hyperlink"/>
          <w:rFonts w:ascii="Arial" w:hAnsi="Arial" w:cs="Arial"/>
          <w:color w:val="auto"/>
          <w:sz w:val="20"/>
          <w:szCs w:val="20"/>
        </w:rPr>
        <w:fldChar w:fldCharType="end"/>
      </w:r>
    </w:p>
    <w:bookmarkEnd w:id="25"/>
    <w:bookmarkEnd w:id="26"/>
    <w:p w14:paraId="347C62FE" w14:textId="77777777" w:rsidR="00DC5066" w:rsidRPr="00BA1B7B" w:rsidRDefault="00DC5066" w:rsidP="00DC5066">
      <w:pPr>
        <w:spacing w:line="276" w:lineRule="auto"/>
        <w:rPr>
          <w:rFonts w:ascii="Arial" w:hAnsi="Arial" w:cs="Arial"/>
          <w:sz w:val="20"/>
          <w:szCs w:val="20"/>
        </w:rPr>
      </w:pPr>
      <w:r w:rsidRPr="00BA1B7B">
        <w:rPr>
          <w:rFonts w:ascii="Arial" w:hAnsi="Arial" w:cs="Arial"/>
          <w:b/>
          <w:bCs/>
          <w:sz w:val="20"/>
          <w:szCs w:val="20"/>
        </w:rPr>
        <w:t>Early Pregnancy Scan</w:t>
      </w:r>
      <w:r w:rsidRPr="00BA1B7B">
        <w:rPr>
          <w:rFonts w:ascii="Arial" w:hAnsi="Arial" w:cs="Arial"/>
          <w:sz w:val="20"/>
          <w:szCs w:val="20"/>
        </w:rPr>
        <w:t xml:space="preserve"> – All women should be offered Nuchal Translucency (NT) Ultrasound between 11 and 13+6 weeks. This scan can assist in identifying fetal anomalies, multiple pregnancies, and be used in combination with screening blood tests to calculate risks of aneuploidy.</w:t>
      </w:r>
    </w:p>
    <w:p w14:paraId="22EE6C96" w14:textId="77777777" w:rsidR="00DC5066" w:rsidRPr="00BA1B7B" w:rsidRDefault="00DC5066" w:rsidP="00DC5066">
      <w:pPr>
        <w:spacing w:line="276" w:lineRule="auto"/>
        <w:rPr>
          <w:rFonts w:ascii="Arial" w:hAnsi="Arial" w:cs="Arial"/>
          <w:b/>
          <w:bCs/>
          <w:sz w:val="20"/>
          <w:szCs w:val="20"/>
        </w:rPr>
      </w:pPr>
      <w:r w:rsidRPr="00BA1B7B">
        <w:rPr>
          <w:rFonts w:ascii="Arial" w:hAnsi="Arial" w:cs="Arial"/>
          <w:b/>
          <w:bCs/>
          <w:sz w:val="20"/>
          <w:szCs w:val="20"/>
        </w:rPr>
        <w:t>Genetics screening options should be discussed and offered</w:t>
      </w:r>
    </w:p>
    <w:p w14:paraId="2FC886D1" w14:textId="77777777" w:rsidR="00DC5066" w:rsidRPr="00BA1B7B" w:rsidRDefault="00DC5066" w:rsidP="00DC5066">
      <w:pPr>
        <w:spacing w:line="276" w:lineRule="auto"/>
        <w:rPr>
          <w:rFonts w:ascii="Arial" w:hAnsi="Arial" w:cs="Arial"/>
          <w:bCs/>
          <w:sz w:val="20"/>
          <w:szCs w:val="20"/>
        </w:rPr>
      </w:pPr>
    </w:p>
    <w:p w14:paraId="3AE8CEFA" w14:textId="4B59B82D" w:rsidR="00DC5066" w:rsidRPr="00BA1B7B" w:rsidRDefault="00DC5066" w:rsidP="00DC5066">
      <w:pPr>
        <w:spacing w:line="276" w:lineRule="auto"/>
        <w:rPr>
          <w:rFonts w:ascii="Arial" w:hAnsi="Arial" w:cs="Arial"/>
          <w:b/>
          <w:bCs/>
          <w:sz w:val="20"/>
          <w:szCs w:val="20"/>
        </w:rPr>
      </w:pPr>
      <w:r w:rsidRPr="00BA1B7B">
        <w:rPr>
          <w:rFonts w:ascii="Arial" w:hAnsi="Arial" w:cs="Arial"/>
          <w:bCs/>
          <w:sz w:val="20"/>
          <w:szCs w:val="20"/>
        </w:rPr>
        <w:t xml:space="preserve">These tests involve some </w:t>
      </w:r>
      <w:r w:rsidR="006923BD" w:rsidRPr="00BA1B7B">
        <w:rPr>
          <w:rFonts w:ascii="Arial" w:hAnsi="Arial" w:cs="Arial"/>
          <w:bCs/>
          <w:sz w:val="20"/>
          <w:szCs w:val="20"/>
        </w:rPr>
        <w:t xml:space="preserve">out of </w:t>
      </w:r>
      <w:r w:rsidRPr="00BA1B7B">
        <w:rPr>
          <w:rFonts w:ascii="Arial" w:hAnsi="Arial" w:cs="Arial"/>
          <w:bCs/>
          <w:sz w:val="20"/>
          <w:szCs w:val="20"/>
        </w:rPr>
        <w:t>pocket costs for patients and cannot be organised through the public hospital.</w:t>
      </w:r>
    </w:p>
    <w:p w14:paraId="10591880"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 xml:space="preserve">Combined First Trimester Screening </w:t>
      </w:r>
    </w:p>
    <w:p w14:paraId="450DAB82" w14:textId="77777777" w:rsidR="00DC5066" w:rsidRPr="00BA1B7B" w:rsidRDefault="00DC5066" w:rsidP="004A22FD">
      <w:pPr>
        <w:pStyle w:val="ListParagraph"/>
        <w:numPr>
          <w:ilvl w:val="1"/>
          <w:numId w:val="6"/>
        </w:numPr>
        <w:spacing w:line="276" w:lineRule="auto"/>
        <w:rPr>
          <w:rFonts w:ascii="Arial" w:hAnsi="Arial" w:cs="Arial"/>
          <w:sz w:val="20"/>
          <w:szCs w:val="20"/>
        </w:rPr>
      </w:pPr>
      <w:r w:rsidRPr="00BA1B7B">
        <w:rPr>
          <w:rFonts w:ascii="Arial" w:hAnsi="Arial" w:cs="Arial"/>
          <w:sz w:val="20"/>
          <w:szCs w:val="20"/>
        </w:rPr>
        <w:t xml:space="preserve">Blood serum sample collected between 9+0 and 13+6 weeks </w:t>
      </w:r>
    </w:p>
    <w:p w14:paraId="38797F3B" w14:textId="77777777" w:rsidR="00DC5066" w:rsidRPr="00BA1B7B" w:rsidRDefault="00DC5066" w:rsidP="004A22FD">
      <w:pPr>
        <w:pStyle w:val="ListParagraph"/>
        <w:numPr>
          <w:ilvl w:val="1"/>
          <w:numId w:val="6"/>
        </w:numPr>
        <w:spacing w:line="276" w:lineRule="auto"/>
        <w:rPr>
          <w:rFonts w:ascii="Arial" w:hAnsi="Arial" w:cs="Arial"/>
          <w:sz w:val="20"/>
          <w:szCs w:val="20"/>
        </w:rPr>
      </w:pPr>
      <w:r w:rsidRPr="00BA1B7B">
        <w:rPr>
          <w:rFonts w:ascii="Arial" w:hAnsi="Arial" w:cs="Arial"/>
          <w:sz w:val="20"/>
          <w:szCs w:val="20"/>
        </w:rPr>
        <w:t>Nuchal Translucency (NT) Ultrasound performed between 11 and 13+6 weeks</w:t>
      </w:r>
    </w:p>
    <w:p w14:paraId="2812CE94" w14:textId="77777777" w:rsidR="00DC5066" w:rsidRPr="00BA1B7B" w:rsidRDefault="00DC5066"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Non-invasive prenatal test (NIPT)</w:t>
      </w:r>
    </w:p>
    <w:p w14:paraId="748BDCED" w14:textId="77777777" w:rsidR="00DC5066" w:rsidRPr="00BA1B7B" w:rsidRDefault="00DC5066" w:rsidP="004A22FD">
      <w:pPr>
        <w:pStyle w:val="ListParagraph"/>
        <w:numPr>
          <w:ilvl w:val="1"/>
          <w:numId w:val="7"/>
        </w:numPr>
        <w:spacing w:line="276" w:lineRule="auto"/>
        <w:rPr>
          <w:rFonts w:ascii="Arial" w:hAnsi="Arial" w:cs="Arial"/>
          <w:sz w:val="20"/>
          <w:szCs w:val="20"/>
        </w:rPr>
      </w:pPr>
      <w:r w:rsidRPr="00BA1B7B">
        <w:rPr>
          <w:rFonts w:ascii="Arial" w:hAnsi="Arial" w:cs="Arial"/>
          <w:sz w:val="20"/>
          <w:szCs w:val="20"/>
        </w:rPr>
        <w:t>blood test collected from 10+0 weeks</w:t>
      </w:r>
    </w:p>
    <w:p w14:paraId="34A77625" w14:textId="77777777" w:rsidR="00DC5066" w:rsidRPr="00BA1B7B" w:rsidRDefault="00DC5066" w:rsidP="004A22FD">
      <w:pPr>
        <w:pStyle w:val="ListParagraph"/>
        <w:numPr>
          <w:ilvl w:val="1"/>
          <w:numId w:val="7"/>
        </w:numPr>
        <w:spacing w:line="276" w:lineRule="auto"/>
        <w:rPr>
          <w:rFonts w:ascii="Arial" w:hAnsi="Arial" w:cs="Arial"/>
          <w:sz w:val="20"/>
          <w:szCs w:val="20"/>
        </w:rPr>
      </w:pPr>
      <w:r w:rsidRPr="00BA1B7B">
        <w:rPr>
          <w:rFonts w:ascii="Arial" w:hAnsi="Arial" w:cs="Arial"/>
          <w:sz w:val="20"/>
          <w:szCs w:val="20"/>
        </w:rPr>
        <w:t>Nuchal Translucency (NT) Ultrasound performed between 11 and 13+6 weeks</w:t>
      </w:r>
    </w:p>
    <w:p w14:paraId="176C41A3" w14:textId="77777777" w:rsidR="00DC5066" w:rsidRPr="00BA1B7B" w:rsidRDefault="00DC5066" w:rsidP="00DC5066">
      <w:pPr>
        <w:spacing w:line="276" w:lineRule="auto"/>
        <w:rPr>
          <w:rStyle w:val="Hyperlink"/>
          <w:rFonts w:ascii="Arial" w:hAnsi="Arial" w:cs="Arial"/>
          <w:color w:val="auto"/>
          <w:sz w:val="20"/>
          <w:szCs w:val="20"/>
        </w:rPr>
      </w:pPr>
      <w:r w:rsidRPr="00BA1B7B">
        <w:rPr>
          <w:rFonts w:ascii="Arial" w:hAnsi="Arial" w:cs="Arial"/>
          <w:i/>
          <w:iCs/>
          <w:sz w:val="20"/>
          <w:szCs w:val="20"/>
        </w:rPr>
        <w:t xml:space="preserve">For additional information and resources see the Victorian Clinical Genetics Services (VCGS) and section of this guide see link: </w:t>
      </w:r>
      <w:bookmarkStart w:id="27" w:name="_Hlk48134832"/>
      <w:r w:rsidRPr="00BA1B7B">
        <w:fldChar w:fldCharType="begin"/>
      </w:r>
      <w:r w:rsidRPr="00BA1B7B">
        <w:rPr>
          <w:rFonts w:ascii="Arial" w:hAnsi="Arial" w:cs="Arial"/>
          <w:sz w:val="20"/>
          <w:szCs w:val="20"/>
        </w:rPr>
        <w:instrText xml:space="preserve"> HYPERLINK "https://www.vcgs.org.au/tests" </w:instrText>
      </w:r>
      <w:r w:rsidRPr="00BA1B7B">
        <w:fldChar w:fldCharType="separate"/>
      </w:r>
      <w:r w:rsidRPr="00BA1B7B">
        <w:rPr>
          <w:rStyle w:val="Hyperlink"/>
          <w:rFonts w:ascii="Arial" w:hAnsi="Arial" w:cs="Arial"/>
          <w:color w:val="auto"/>
          <w:sz w:val="20"/>
          <w:szCs w:val="20"/>
        </w:rPr>
        <w:t>https://www.vcgs.org.au/tests</w:t>
      </w:r>
      <w:r w:rsidRPr="00BA1B7B">
        <w:rPr>
          <w:rStyle w:val="Hyperlink"/>
          <w:rFonts w:ascii="Arial" w:hAnsi="Arial" w:cs="Arial"/>
          <w:color w:val="auto"/>
          <w:sz w:val="20"/>
          <w:szCs w:val="20"/>
        </w:rPr>
        <w:fldChar w:fldCharType="end"/>
      </w:r>
    </w:p>
    <w:p w14:paraId="2F1EB5AD" w14:textId="77777777" w:rsidR="00DC5066" w:rsidRPr="00BA1B7B" w:rsidRDefault="00DC5066" w:rsidP="00DC5066">
      <w:pPr>
        <w:spacing w:line="276" w:lineRule="auto"/>
        <w:rPr>
          <w:rStyle w:val="Hyperlink"/>
          <w:rFonts w:ascii="Arial" w:hAnsi="Arial" w:cs="Arial"/>
          <w:color w:val="auto"/>
          <w:sz w:val="20"/>
          <w:szCs w:val="20"/>
        </w:rPr>
      </w:pPr>
    </w:p>
    <w:p w14:paraId="482C6ECF" w14:textId="5620806E" w:rsidR="00DC5066" w:rsidRPr="00BA1B7B" w:rsidRDefault="00DC5066" w:rsidP="00DC5066">
      <w:pPr>
        <w:spacing w:line="276" w:lineRule="auto"/>
        <w:jc w:val="center"/>
        <w:rPr>
          <w:rStyle w:val="Hyperlink"/>
          <w:rFonts w:ascii="Arial" w:hAnsi="Arial" w:cs="Arial"/>
          <w:color w:val="auto"/>
          <w:sz w:val="20"/>
          <w:szCs w:val="20"/>
        </w:rPr>
      </w:pPr>
      <w:r w:rsidRPr="00BA1B7B">
        <w:rPr>
          <w:rStyle w:val="Hyperlink"/>
          <w:rFonts w:ascii="Arial" w:hAnsi="Arial" w:cs="Arial"/>
          <w:b/>
          <w:color w:val="auto"/>
          <w:sz w:val="20"/>
          <w:szCs w:val="20"/>
        </w:rPr>
        <w:t xml:space="preserve">ABNORMAL genetic screening results should be faxed to maternity bookings and/or fetal diagnostics service midwife contacted for urgent follow up – </w:t>
      </w:r>
      <w:r w:rsidR="00FA44B4" w:rsidRPr="00BA1B7B">
        <w:rPr>
          <w:rStyle w:val="Hyperlink"/>
          <w:rFonts w:ascii="Arial" w:hAnsi="Arial" w:cs="Arial"/>
          <w:b/>
          <w:color w:val="auto"/>
          <w:sz w:val="20"/>
          <w:szCs w:val="20"/>
        </w:rPr>
        <w:t>see useful contacts p6</w:t>
      </w:r>
      <w:r w:rsidRPr="00BA1B7B">
        <w:rPr>
          <w:rStyle w:val="Hyperlink"/>
          <w:rFonts w:ascii="Arial" w:hAnsi="Arial" w:cs="Arial"/>
          <w:b/>
          <w:color w:val="auto"/>
          <w:sz w:val="20"/>
          <w:szCs w:val="20"/>
        </w:rPr>
        <w:t xml:space="preserve"> </w:t>
      </w:r>
    </w:p>
    <w:p w14:paraId="6BA3E78B" w14:textId="77777777" w:rsidR="00DC5066" w:rsidRPr="00BA1B7B" w:rsidRDefault="00DC5066" w:rsidP="00DC5066">
      <w:pPr>
        <w:spacing w:line="276" w:lineRule="auto"/>
        <w:rPr>
          <w:rFonts w:ascii="Arial" w:hAnsi="Arial" w:cs="Arial"/>
          <w:sz w:val="20"/>
          <w:szCs w:val="20"/>
        </w:rPr>
      </w:pPr>
    </w:p>
    <w:bookmarkEnd w:id="27"/>
    <w:p w14:paraId="09F6B25D" w14:textId="77777777" w:rsidR="00DC5066" w:rsidRPr="00BA1B7B" w:rsidRDefault="00DC5066" w:rsidP="00FA44B4">
      <w:pPr>
        <w:spacing w:line="276" w:lineRule="auto"/>
        <w:jc w:val="center"/>
        <w:rPr>
          <w:rFonts w:ascii="Arial" w:hAnsi="Arial" w:cs="Arial"/>
          <w:b/>
          <w:bCs/>
          <w:sz w:val="20"/>
          <w:szCs w:val="20"/>
        </w:rPr>
      </w:pPr>
      <w:r w:rsidRPr="00BA1B7B">
        <w:rPr>
          <w:rFonts w:ascii="Arial" w:hAnsi="Arial" w:cs="Arial"/>
          <w:b/>
          <w:bCs/>
          <w:sz w:val="20"/>
          <w:szCs w:val="20"/>
        </w:rPr>
        <w:t>Note that NIPT is difficult to interpret in women with a solid organ transplant due to graft</w:t>
      </w:r>
      <w:r w:rsidRPr="00BA1B7B">
        <w:rPr>
          <w:rFonts w:ascii="Cambria Math" w:hAnsi="Cambria Math" w:cs="Cambria Math"/>
          <w:b/>
          <w:bCs/>
          <w:sz w:val="20"/>
          <w:szCs w:val="20"/>
        </w:rPr>
        <w:t>‐</w:t>
      </w:r>
      <w:r w:rsidRPr="00BA1B7B">
        <w:rPr>
          <w:rFonts w:ascii="Arial" w:hAnsi="Arial" w:cs="Arial"/>
          <w:b/>
          <w:bCs/>
          <w:sz w:val="20"/>
          <w:szCs w:val="20"/>
        </w:rPr>
        <w:t>derived cell</w:t>
      </w:r>
      <w:r w:rsidRPr="00BA1B7B">
        <w:rPr>
          <w:rFonts w:ascii="Cambria Math" w:hAnsi="Cambria Math" w:cs="Cambria Math"/>
          <w:b/>
          <w:bCs/>
          <w:sz w:val="20"/>
          <w:szCs w:val="20"/>
        </w:rPr>
        <w:t>‐</w:t>
      </w:r>
      <w:r w:rsidRPr="00BA1B7B">
        <w:rPr>
          <w:rFonts w:ascii="Arial" w:hAnsi="Arial" w:cs="Arial"/>
          <w:b/>
          <w:bCs/>
          <w:sz w:val="20"/>
          <w:szCs w:val="20"/>
        </w:rPr>
        <w:t>free DNA being released into the maternal circulation and hence should not be ordered unless in discussion with Clinical Genetics for a specific indication.</w:t>
      </w:r>
    </w:p>
    <w:p w14:paraId="58255ECB" w14:textId="77777777" w:rsidR="00DC5066" w:rsidRPr="00BA1B7B" w:rsidRDefault="00DC5066" w:rsidP="00DC5066">
      <w:pPr>
        <w:spacing w:line="276" w:lineRule="auto"/>
        <w:rPr>
          <w:rFonts w:ascii="Arial" w:hAnsi="Arial" w:cs="Arial"/>
          <w:b/>
          <w:bCs/>
          <w:sz w:val="20"/>
          <w:szCs w:val="20"/>
        </w:rPr>
      </w:pPr>
    </w:p>
    <w:p w14:paraId="2CB276C0" w14:textId="77777777" w:rsidR="00DC5066" w:rsidRPr="00BA1B7B" w:rsidRDefault="00DC5066" w:rsidP="00DC5066">
      <w:pPr>
        <w:spacing w:line="276" w:lineRule="auto"/>
        <w:rPr>
          <w:rFonts w:ascii="Arial" w:hAnsi="Arial" w:cs="Arial"/>
          <w:b/>
          <w:bCs/>
          <w:sz w:val="20"/>
          <w:szCs w:val="20"/>
        </w:rPr>
      </w:pPr>
      <w:r w:rsidRPr="00BA1B7B">
        <w:rPr>
          <w:rFonts w:ascii="Arial" w:hAnsi="Arial" w:cs="Arial"/>
          <w:b/>
          <w:bCs/>
          <w:sz w:val="20"/>
          <w:szCs w:val="20"/>
        </w:rPr>
        <w:t xml:space="preserve">Early-Onset PET Screening options </w:t>
      </w:r>
    </w:p>
    <w:p w14:paraId="558277E5" w14:textId="77777777" w:rsidR="00DC5066" w:rsidRPr="00BA1B7B" w:rsidRDefault="00DC5066" w:rsidP="00DC5066">
      <w:pPr>
        <w:spacing w:line="276" w:lineRule="auto"/>
        <w:rPr>
          <w:rFonts w:ascii="Arial" w:hAnsi="Arial" w:cs="Arial"/>
          <w:b/>
          <w:bCs/>
          <w:sz w:val="20"/>
          <w:szCs w:val="20"/>
        </w:rPr>
      </w:pPr>
      <w:r w:rsidRPr="00BA1B7B">
        <w:rPr>
          <w:rFonts w:ascii="Arial" w:hAnsi="Arial" w:cs="Arial"/>
          <w:bCs/>
          <w:sz w:val="20"/>
          <w:szCs w:val="20"/>
        </w:rPr>
        <w:lastRenderedPageBreak/>
        <w:t>This is offered by VCGS and Monash US for Women, and women may be referred by their GP.  Please note, where there is already a clinical risk factor for pre-eclampsia, this test is of no additional benefit in clinical decision making, and probably should not be offered.  The cost is out-of-pocket for patients.</w:t>
      </w:r>
    </w:p>
    <w:p w14:paraId="093E655C" w14:textId="77777777" w:rsidR="00DC5066" w:rsidRPr="00BA1B7B" w:rsidRDefault="00DC5066" w:rsidP="00DC5066">
      <w:pPr>
        <w:spacing w:line="276" w:lineRule="auto"/>
        <w:rPr>
          <w:rFonts w:ascii="Arial" w:hAnsi="Arial" w:cs="Arial"/>
          <w:b/>
          <w:bCs/>
          <w:sz w:val="20"/>
          <w:szCs w:val="20"/>
        </w:rPr>
      </w:pPr>
    </w:p>
    <w:p w14:paraId="39C333BE" w14:textId="77777777" w:rsidR="00DC5066" w:rsidRPr="00BA1B7B" w:rsidRDefault="00DC5066" w:rsidP="00DC5066">
      <w:pPr>
        <w:spacing w:line="276" w:lineRule="auto"/>
        <w:rPr>
          <w:rFonts w:ascii="Arial" w:hAnsi="Arial" w:cs="Arial"/>
          <w:b/>
          <w:bCs/>
          <w:sz w:val="20"/>
          <w:szCs w:val="20"/>
        </w:rPr>
      </w:pPr>
      <w:r w:rsidRPr="00BA1B7B">
        <w:rPr>
          <w:rFonts w:ascii="Arial" w:hAnsi="Arial" w:cs="Arial"/>
          <w:b/>
          <w:bCs/>
          <w:sz w:val="20"/>
          <w:szCs w:val="20"/>
        </w:rPr>
        <w:t xml:space="preserve">Physical and Mental wellbeing Assessment </w:t>
      </w:r>
    </w:p>
    <w:p w14:paraId="10A4D824" w14:textId="77777777" w:rsidR="00DC5066" w:rsidRPr="00BA1B7B" w:rsidRDefault="00DC5066" w:rsidP="00DC5066">
      <w:pPr>
        <w:spacing w:line="276" w:lineRule="auto"/>
        <w:rPr>
          <w:rFonts w:ascii="Arial" w:hAnsi="Arial" w:cs="Arial"/>
          <w:sz w:val="20"/>
          <w:szCs w:val="20"/>
        </w:rPr>
      </w:pPr>
      <w:r w:rsidRPr="00BA1B7B">
        <w:rPr>
          <w:rFonts w:ascii="Arial" w:hAnsi="Arial" w:cs="Arial"/>
          <w:sz w:val="20"/>
          <w:szCs w:val="20"/>
        </w:rPr>
        <w:t>A physical assessment should be performed within this initial appointment including</w:t>
      </w:r>
    </w:p>
    <w:p w14:paraId="1F04A7EF" w14:textId="77777777" w:rsidR="00DC5066" w:rsidRPr="00BA1B7B" w:rsidRDefault="00DC5066" w:rsidP="004A22FD">
      <w:pPr>
        <w:pStyle w:val="ListParagraph"/>
        <w:numPr>
          <w:ilvl w:val="0"/>
          <w:numId w:val="8"/>
        </w:numPr>
        <w:spacing w:line="276" w:lineRule="auto"/>
        <w:rPr>
          <w:rFonts w:ascii="Arial" w:hAnsi="Arial" w:cs="Arial"/>
          <w:sz w:val="20"/>
          <w:szCs w:val="20"/>
        </w:rPr>
      </w:pPr>
      <w:r w:rsidRPr="00BA1B7B">
        <w:rPr>
          <w:rFonts w:ascii="Arial" w:hAnsi="Arial" w:cs="Arial"/>
          <w:sz w:val="20"/>
          <w:szCs w:val="20"/>
        </w:rPr>
        <w:t>Blood pressure</w:t>
      </w:r>
    </w:p>
    <w:p w14:paraId="10AB40E9" w14:textId="77777777" w:rsidR="00DC5066" w:rsidRPr="00BA1B7B" w:rsidRDefault="00DC5066" w:rsidP="004A22FD">
      <w:pPr>
        <w:pStyle w:val="ListParagraph"/>
        <w:numPr>
          <w:ilvl w:val="0"/>
          <w:numId w:val="8"/>
        </w:numPr>
        <w:spacing w:line="276" w:lineRule="auto"/>
        <w:rPr>
          <w:rFonts w:ascii="Arial" w:hAnsi="Arial" w:cs="Arial"/>
          <w:sz w:val="20"/>
          <w:szCs w:val="20"/>
        </w:rPr>
      </w:pPr>
      <w:r w:rsidRPr="00BA1B7B">
        <w:rPr>
          <w:rFonts w:ascii="Arial" w:hAnsi="Arial" w:cs="Arial"/>
          <w:sz w:val="20"/>
          <w:szCs w:val="20"/>
        </w:rPr>
        <w:t>Auscultation of maternal heart and lungs</w:t>
      </w:r>
    </w:p>
    <w:p w14:paraId="14E5F042" w14:textId="77777777" w:rsidR="00DC5066" w:rsidRPr="00BA1B7B" w:rsidRDefault="00DC5066" w:rsidP="004A22FD">
      <w:pPr>
        <w:pStyle w:val="ListParagraph"/>
        <w:numPr>
          <w:ilvl w:val="0"/>
          <w:numId w:val="8"/>
        </w:numPr>
        <w:spacing w:line="276" w:lineRule="auto"/>
        <w:rPr>
          <w:rFonts w:ascii="Arial" w:hAnsi="Arial" w:cs="Arial"/>
          <w:sz w:val="20"/>
          <w:szCs w:val="20"/>
        </w:rPr>
      </w:pPr>
      <w:r w:rsidRPr="00BA1B7B">
        <w:rPr>
          <w:rFonts w:ascii="Arial" w:hAnsi="Arial" w:cs="Arial"/>
          <w:sz w:val="20"/>
          <w:szCs w:val="20"/>
        </w:rPr>
        <w:t>Thyroid assessment</w:t>
      </w:r>
    </w:p>
    <w:p w14:paraId="543EBDA3" w14:textId="77777777" w:rsidR="00DC5066" w:rsidRPr="00BA1B7B" w:rsidRDefault="00DC5066" w:rsidP="004A22FD">
      <w:pPr>
        <w:pStyle w:val="ListParagraph"/>
        <w:numPr>
          <w:ilvl w:val="0"/>
          <w:numId w:val="8"/>
        </w:numPr>
        <w:spacing w:line="276" w:lineRule="auto"/>
        <w:rPr>
          <w:rFonts w:ascii="Arial" w:hAnsi="Arial" w:cs="Arial"/>
          <w:sz w:val="20"/>
          <w:szCs w:val="20"/>
        </w:rPr>
      </w:pPr>
      <w:r w:rsidRPr="00BA1B7B">
        <w:rPr>
          <w:rFonts w:ascii="Arial" w:hAnsi="Arial" w:cs="Arial"/>
          <w:sz w:val="20"/>
          <w:szCs w:val="20"/>
        </w:rPr>
        <w:t xml:space="preserve">Cervical screening - past history results should be discussed. Women who have never been screened or are overdue should be strongly encouraged to undertake cervical screening which is considered safe in pregnancy. Please refer to National Cervical Screening Program and clinical practice guideline: </w:t>
      </w:r>
      <w:hyperlink r:id="rId36" w:anchor="_ga=2.76750741.1055921654.1611873603-759936738.1611873603" w:history="1">
        <w:r w:rsidRPr="00BA1B7B">
          <w:rPr>
            <w:rStyle w:val="Hyperlink"/>
            <w:rFonts w:ascii="Arial" w:hAnsi="Arial" w:cs="Arial"/>
            <w:color w:val="auto"/>
            <w:sz w:val="20"/>
            <w:szCs w:val="20"/>
          </w:rPr>
          <w:t>https://wiki.cancer.org.au/australia/Guidelines:Cervical_cancer/Screening#_ga=2.76750741.1055921654.1611873603-759936738.1611873603</w:t>
        </w:r>
      </w:hyperlink>
    </w:p>
    <w:p w14:paraId="05FDEFC2" w14:textId="77777777" w:rsidR="00DC5066" w:rsidRPr="00BA1B7B" w:rsidRDefault="00DC5066" w:rsidP="004A22FD">
      <w:pPr>
        <w:pStyle w:val="ListParagraph"/>
        <w:numPr>
          <w:ilvl w:val="0"/>
          <w:numId w:val="9"/>
        </w:numPr>
        <w:spacing w:line="276" w:lineRule="auto"/>
        <w:rPr>
          <w:rFonts w:ascii="Arial" w:hAnsi="Arial" w:cs="Arial"/>
          <w:sz w:val="20"/>
          <w:szCs w:val="20"/>
        </w:rPr>
      </w:pPr>
      <w:r w:rsidRPr="00BA1B7B">
        <w:rPr>
          <w:rFonts w:ascii="Arial" w:hAnsi="Arial" w:cs="Arial"/>
          <w:sz w:val="20"/>
          <w:szCs w:val="20"/>
        </w:rPr>
        <w:t xml:space="preserve">Mental health – early identification of women experiencing symptoms of depression and/or anxiety allows for supports to be initiated, and referral to additional relevant services. </w:t>
      </w:r>
    </w:p>
    <w:p w14:paraId="79E39B46" w14:textId="77777777" w:rsidR="00DC5066" w:rsidRPr="00BA1B7B" w:rsidRDefault="00DC5066" w:rsidP="004A22FD">
      <w:pPr>
        <w:pStyle w:val="ListParagraph"/>
        <w:numPr>
          <w:ilvl w:val="0"/>
          <w:numId w:val="9"/>
        </w:numPr>
        <w:spacing w:line="276" w:lineRule="auto"/>
        <w:rPr>
          <w:rFonts w:ascii="Arial" w:hAnsi="Arial" w:cs="Arial"/>
          <w:sz w:val="20"/>
          <w:szCs w:val="20"/>
        </w:rPr>
      </w:pPr>
      <w:r w:rsidRPr="00BA1B7B">
        <w:rPr>
          <w:rFonts w:ascii="Arial" w:hAnsi="Arial" w:cs="Arial"/>
          <w:sz w:val="20"/>
          <w:szCs w:val="20"/>
        </w:rPr>
        <w:t xml:space="preserve">It is recommended that women are screened as early as possible in pregnancy using the Edinburgh Post-natal Depression Scale (EPDS) and repeated at least once throughout pregnancy.  </w:t>
      </w:r>
    </w:p>
    <w:bookmarkStart w:id="28" w:name="_Hlk48135210"/>
    <w:p w14:paraId="2BC8B64E" w14:textId="77777777" w:rsidR="00DC5066" w:rsidRPr="00BA1B7B" w:rsidRDefault="00DC5066" w:rsidP="00DC5066">
      <w:pPr>
        <w:pStyle w:val="ListParagraph"/>
        <w:spacing w:line="276" w:lineRule="auto"/>
        <w:rPr>
          <w:rStyle w:val="Hyperlink"/>
          <w:rFonts w:ascii="Arial" w:hAnsi="Arial" w:cs="Arial"/>
          <w:color w:val="auto"/>
          <w:sz w:val="20"/>
          <w:szCs w:val="20"/>
        </w:rPr>
      </w:pPr>
      <w:r w:rsidRPr="00BA1B7B">
        <w:fldChar w:fldCharType="begin"/>
      </w:r>
      <w:r w:rsidRPr="00BA1B7B">
        <w:rPr>
          <w:rFonts w:ascii="Arial" w:hAnsi="Arial" w:cs="Arial"/>
          <w:sz w:val="20"/>
          <w:szCs w:val="20"/>
        </w:rPr>
        <w:instrText xml:space="preserve"> HYPERLINK "https://www.health.gov.au/resources/pregnancy-care-guidelines/part-e-social-and-emotional-screening" </w:instrText>
      </w:r>
      <w:r w:rsidRPr="00BA1B7B">
        <w:fldChar w:fldCharType="separate"/>
      </w:r>
      <w:r w:rsidRPr="00BA1B7B">
        <w:rPr>
          <w:rStyle w:val="Hyperlink"/>
          <w:rFonts w:ascii="Arial" w:hAnsi="Arial" w:cs="Arial"/>
          <w:color w:val="auto"/>
          <w:sz w:val="20"/>
          <w:szCs w:val="20"/>
        </w:rPr>
        <w:t>https://www.health.gov.au/resources/pregnancy-care-guidelines/part-e-social-and-emotional-screening</w:t>
      </w:r>
      <w:r w:rsidRPr="00BA1B7B">
        <w:rPr>
          <w:rStyle w:val="Hyperlink"/>
          <w:rFonts w:ascii="Arial" w:hAnsi="Arial" w:cs="Arial"/>
          <w:color w:val="auto"/>
          <w:sz w:val="20"/>
          <w:szCs w:val="20"/>
        </w:rPr>
        <w:fldChar w:fldCharType="end"/>
      </w:r>
    </w:p>
    <w:p w14:paraId="4E069B23" w14:textId="77777777" w:rsidR="00DC5066" w:rsidRPr="00BA1B7B" w:rsidRDefault="00A97F97" w:rsidP="00DC5066">
      <w:pPr>
        <w:pStyle w:val="ListParagraph"/>
        <w:spacing w:line="276" w:lineRule="auto"/>
        <w:rPr>
          <w:rFonts w:ascii="Arial" w:hAnsi="Arial" w:cs="Arial"/>
          <w:sz w:val="20"/>
          <w:szCs w:val="20"/>
        </w:rPr>
      </w:pPr>
      <w:hyperlink r:id="rId37" w:history="1">
        <w:r w:rsidR="00DC5066" w:rsidRPr="00BA1B7B">
          <w:rPr>
            <w:rStyle w:val="Hyperlink"/>
            <w:rFonts w:ascii="Arial" w:hAnsi="Arial" w:cs="Arial"/>
            <w:color w:val="auto"/>
            <w:sz w:val="20"/>
            <w:szCs w:val="20"/>
          </w:rPr>
          <w:t>https://www.cope.org.au/health-professionals/health-professionals-3/calculating-score-epds/</w:t>
        </w:r>
      </w:hyperlink>
    </w:p>
    <w:bookmarkEnd w:id="28"/>
    <w:p w14:paraId="6E7A6E85" w14:textId="77777777" w:rsidR="00DC5066" w:rsidRPr="00BA1B7B" w:rsidRDefault="00DC5066" w:rsidP="00DC5066">
      <w:pPr>
        <w:spacing w:line="276" w:lineRule="auto"/>
        <w:jc w:val="center"/>
        <w:rPr>
          <w:rFonts w:ascii="Arial" w:hAnsi="Arial" w:cs="Arial"/>
          <w:b/>
          <w:i/>
          <w:iCs/>
          <w:sz w:val="20"/>
          <w:szCs w:val="20"/>
        </w:rPr>
      </w:pPr>
      <w:r w:rsidRPr="00BA1B7B">
        <w:rPr>
          <w:rFonts w:ascii="Arial" w:hAnsi="Arial" w:cs="Arial"/>
          <w:b/>
          <w:i/>
          <w:iCs/>
          <w:sz w:val="20"/>
          <w:szCs w:val="20"/>
        </w:rPr>
        <w:t>For women with mental health conditions requiring additional support, please refer to Section 9.0 mental health in pregnancy</w:t>
      </w:r>
    </w:p>
    <w:p w14:paraId="69EED83A" w14:textId="77777777" w:rsidR="00DC5066" w:rsidRPr="00BA1B7B" w:rsidRDefault="00DC5066" w:rsidP="00DC5066">
      <w:pPr>
        <w:spacing w:line="276" w:lineRule="auto"/>
        <w:rPr>
          <w:rFonts w:ascii="Arial" w:hAnsi="Arial" w:cs="Arial"/>
          <w:sz w:val="20"/>
          <w:szCs w:val="20"/>
        </w:rPr>
      </w:pPr>
    </w:p>
    <w:p w14:paraId="0AEA2947" w14:textId="77777777" w:rsidR="00DC5066" w:rsidRPr="00BA1B7B" w:rsidRDefault="00DC5066" w:rsidP="00DC5066">
      <w:pPr>
        <w:spacing w:line="276" w:lineRule="auto"/>
        <w:rPr>
          <w:rFonts w:ascii="Arial" w:hAnsi="Arial" w:cs="Arial"/>
          <w:b/>
          <w:bCs/>
          <w:sz w:val="20"/>
          <w:szCs w:val="20"/>
        </w:rPr>
      </w:pPr>
    </w:p>
    <w:p w14:paraId="543E341A" w14:textId="77777777" w:rsidR="00DC5066" w:rsidRPr="00BA1B7B" w:rsidRDefault="00DC5066" w:rsidP="00DC5066">
      <w:pPr>
        <w:spacing w:line="276" w:lineRule="auto"/>
        <w:rPr>
          <w:rFonts w:ascii="Arial" w:hAnsi="Arial" w:cs="Arial"/>
          <w:b/>
          <w:bCs/>
          <w:sz w:val="20"/>
          <w:szCs w:val="20"/>
        </w:rPr>
      </w:pPr>
      <w:r w:rsidRPr="00BA1B7B">
        <w:rPr>
          <w:rFonts w:ascii="Arial" w:hAnsi="Arial" w:cs="Arial"/>
          <w:b/>
          <w:bCs/>
          <w:sz w:val="20"/>
          <w:szCs w:val="20"/>
        </w:rPr>
        <w:t xml:space="preserve">Education – </w:t>
      </w:r>
    </w:p>
    <w:p w14:paraId="7161A2D5" w14:textId="77777777" w:rsidR="00DC5066" w:rsidRPr="00BA1B7B" w:rsidRDefault="00DC5066" w:rsidP="00DC5066">
      <w:pPr>
        <w:spacing w:line="276" w:lineRule="auto"/>
        <w:rPr>
          <w:rFonts w:ascii="Arial" w:hAnsi="Arial" w:cs="Arial"/>
          <w:sz w:val="20"/>
          <w:szCs w:val="20"/>
        </w:rPr>
      </w:pPr>
      <w:r w:rsidRPr="00BA1B7B">
        <w:rPr>
          <w:rFonts w:ascii="Arial" w:hAnsi="Arial" w:cs="Arial"/>
          <w:sz w:val="20"/>
          <w:szCs w:val="20"/>
        </w:rPr>
        <w:t xml:space="preserve">It is recommended the following are discussed during this first appointment - </w:t>
      </w:r>
    </w:p>
    <w:p w14:paraId="49B0B9F8" w14:textId="77777777" w:rsidR="00DC5066" w:rsidRPr="00BA1B7B" w:rsidRDefault="00DC5066" w:rsidP="004A22FD">
      <w:pPr>
        <w:pStyle w:val="ListParagraph"/>
        <w:numPr>
          <w:ilvl w:val="0"/>
          <w:numId w:val="10"/>
        </w:numPr>
        <w:spacing w:line="276" w:lineRule="auto"/>
        <w:rPr>
          <w:rFonts w:ascii="Arial" w:hAnsi="Arial" w:cs="Arial"/>
          <w:sz w:val="20"/>
          <w:szCs w:val="20"/>
        </w:rPr>
      </w:pPr>
      <w:r w:rsidRPr="00BA1B7B">
        <w:rPr>
          <w:rFonts w:ascii="Arial" w:hAnsi="Arial" w:cs="Arial"/>
          <w:sz w:val="20"/>
          <w:szCs w:val="20"/>
        </w:rPr>
        <w:t xml:space="preserve">Folic acid supplementation – daily folate recommendation for women in first trimester is 0.5mg for low-risk women. Those women with an increased BMI, Diabetes Mellitus or high risk for neural tube defects should be guided by their GP as to an increased dose. </w:t>
      </w:r>
    </w:p>
    <w:bookmarkStart w:id="29" w:name="_Hlk48135680"/>
    <w:p w14:paraId="1BDB2AD9" w14:textId="77777777" w:rsidR="00DC5066" w:rsidRPr="00BA1B7B" w:rsidRDefault="00DC5066" w:rsidP="004A22FD">
      <w:pPr>
        <w:pStyle w:val="ListParagraph"/>
        <w:numPr>
          <w:ilvl w:val="1"/>
          <w:numId w:val="10"/>
        </w:numPr>
        <w:spacing w:line="276" w:lineRule="auto"/>
        <w:rPr>
          <w:rFonts w:ascii="Arial" w:hAnsi="Arial" w:cs="Arial"/>
          <w:sz w:val="20"/>
          <w:szCs w:val="20"/>
          <w:u w:val="single"/>
        </w:rPr>
      </w:pPr>
      <w:r w:rsidRPr="00BA1B7B">
        <w:fldChar w:fldCharType="begin"/>
      </w:r>
      <w:r w:rsidRPr="00BA1B7B">
        <w:rPr>
          <w:rFonts w:ascii="Arial" w:hAnsi="Arial" w:cs="Arial"/>
          <w:sz w:val="20"/>
          <w:szCs w:val="20"/>
        </w:rPr>
        <w:instrText xml:space="preserve"> HYPERLINK "https://www.betterhealth.vic.gov.au/health/healthyliving/folate-for-pregnant-women" </w:instrText>
      </w:r>
      <w:r w:rsidRPr="00BA1B7B">
        <w:fldChar w:fldCharType="separate"/>
      </w:r>
      <w:r w:rsidRPr="00BA1B7B">
        <w:rPr>
          <w:rStyle w:val="Hyperlink"/>
          <w:rFonts w:ascii="Arial" w:hAnsi="Arial" w:cs="Arial"/>
          <w:color w:val="auto"/>
          <w:sz w:val="20"/>
          <w:szCs w:val="20"/>
        </w:rPr>
        <w:t>https://www.betterhealth.vic.gov.au/health/healthyliving/folate-for-pregnant-women</w:t>
      </w:r>
      <w:r w:rsidRPr="00BA1B7B">
        <w:rPr>
          <w:rStyle w:val="Hyperlink"/>
          <w:rFonts w:ascii="Arial" w:hAnsi="Arial" w:cs="Arial"/>
          <w:color w:val="auto"/>
          <w:sz w:val="20"/>
          <w:szCs w:val="20"/>
        </w:rPr>
        <w:fldChar w:fldCharType="end"/>
      </w:r>
    </w:p>
    <w:bookmarkEnd w:id="29"/>
    <w:p w14:paraId="420792CF" w14:textId="77777777" w:rsidR="00DC5066" w:rsidRPr="00BA1B7B" w:rsidRDefault="00DC5066" w:rsidP="004A22FD">
      <w:pPr>
        <w:pStyle w:val="ListParagraph"/>
        <w:numPr>
          <w:ilvl w:val="0"/>
          <w:numId w:val="10"/>
        </w:numPr>
        <w:spacing w:line="276" w:lineRule="auto"/>
        <w:rPr>
          <w:rFonts w:ascii="Arial" w:hAnsi="Arial" w:cs="Arial"/>
          <w:sz w:val="20"/>
          <w:szCs w:val="20"/>
        </w:rPr>
      </w:pPr>
      <w:r w:rsidRPr="00BA1B7B">
        <w:rPr>
          <w:rFonts w:ascii="Arial" w:hAnsi="Arial" w:cs="Arial"/>
          <w:sz w:val="20"/>
          <w:szCs w:val="20"/>
        </w:rPr>
        <w:t xml:space="preserve">Food Hygiene, including how to reduce the risk of food acquired infection. Highlighting Listeria, mercury and safer food choices. </w:t>
      </w:r>
    </w:p>
    <w:p w14:paraId="3797F015" w14:textId="77777777" w:rsidR="00DC5066" w:rsidRPr="00BA1B7B" w:rsidRDefault="00A97F97" w:rsidP="004A22FD">
      <w:pPr>
        <w:pStyle w:val="ListParagraph"/>
        <w:numPr>
          <w:ilvl w:val="1"/>
          <w:numId w:val="10"/>
        </w:numPr>
        <w:spacing w:line="276" w:lineRule="auto"/>
        <w:rPr>
          <w:rFonts w:ascii="Arial" w:hAnsi="Arial" w:cs="Arial"/>
          <w:sz w:val="20"/>
          <w:szCs w:val="20"/>
        </w:rPr>
      </w:pPr>
      <w:hyperlink r:id="rId38" w:history="1">
        <w:r w:rsidR="00DC5066" w:rsidRPr="00BA1B7B">
          <w:rPr>
            <w:rFonts w:ascii="Arial" w:hAnsi="Arial" w:cs="Arial"/>
            <w:sz w:val="20"/>
            <w:szCs w:val="20"/>
            <w:u w:val="single"/>
          </w:rPr>
          <w:t>https://www.betterhealth.vic.gov.au/health/healthyliving/pregnancy-and-diet</w:t>
        </w:r>
      </w:hyperlink>
    </w:p>
    <w:p w14:paraId="5AE22A26" w14:textId="77777777" w:rsidR="00DC5066" w:rsidRPr="00BA1B7B" w:rsidRDefault="00DC5066" w:rsidP="004A22FD">
      <w:pPr>
        <w:pStyle w:val="ListParagraph"/>
        <w:numPr>
          <w:ilvl w:val="0"/>
          <w:numId w:val="10"/>
        </w:numPr>
        <w:spacing w:line="276" w:lineRule="auto"/>
        <w:rPr>
          <w:rFonts w:ascii="Arial" w:hAnsi="Arial" w:cs="Arial"/>
          <w:sz w:val="20"/>
          <w:szCs w:val="20"/>
        </w:rPr>
      </w:pPr>
      <w:r w:rsidRPr="00BA1B7B">
        <w:rPr>
          <w:rFonts w:ascii="Arial" w:hAnsi="Arial" w:cs="Arial"/>
          <w:sz w:val="20"/>
          <w:szCs w:val="20"/>
        </w:rPr>
        <w:t xml:space="preserve">Diet – Nutritional requirements vary in pregnancy between different women. A well-balanced diet is recommended to ensure the nutritional requirements of both the mother and baby are met. Supplementation of some minerals and vitamins may be required. Women with restrictive diets or gross intolerances should be encouraged to seek further advice from dieticians for individualized plans to allow for adequate nutritional intake. Women on low calcium diets benefit from 1g/d elemental calcium supplementation to reduce their risk of PET.  Iodine deficiency is common in Australia and multivitamins including iodine or iodine/folate are commonly prescribed. Early identification of iron deficiency/insufficiency may </w:t>
      </w:r>
      <w:r w:rsidRPr="00BA1B7B">
        <w:rPr>
          <w:rFonts w:ascii="Arial" w:hAnsi="Arial" w:cs="Arial"/>
          <w:sz w:val="20"/>
          <w:szCs w:val="20"/>
        </w:rPr>
        <w:lastRenderedPageBreak/>
        <w:t>reduce the need for intravenous iron later in the pregnancy.  Where women are iron deficient at the outset of pregnancy, this cannot be attributed to pregnancy.</w:t>
      </w:r>
    </w:p>
    <w:p w14:paraId="3177C973" w14:textId="77777777" w:rsidR="00DC5066" w:rsidRPr="00BA1B7B" w:rsidRDefault="00DC5066" w:rsidP="004A22FD">
      <w:pPr>
        <w:pStyle w:val="ListParagraph"/>
        <w:numPr>
          <w:ilvl w:val="1"/>
          <w:numId w:val="10"/>
        </w:numPr>
        <w:spacing w:line="276" w:lineRule="auto"/>
        <w:rPr>
          <w:rFonts w:ascii="Arial" w:hAnsi="Arial" w:cs="Arial"/>
          <w:sz w:val="20"/>
          <w:szCs w:val="20"/>
          <w:u w:val="single"/>
        </w:rPr>
      </w:pPr>
      <w:r w:rsidRPr="00BA1B7B">
        <w:rPr>
          <w:rFonts w:ascii="Arial" w:hAnsi="Arial" w:cs="Arial"/>
          <w:sz w:val="20"/>
          <w:szCs w:val="20"/>
          <w:u w:val="single"/>
        </w:rPr>
        <w:t>https://www.eatforhealth.gov.au/sites/default/files/content/The%20Guidelines/n55h_healthy_eating_during_pregnancy_0_0.pdf</w:t>
      </w:r>
    </w:p>
    <w:p w14:paraId="5B780BDB" w14:textId="77777777" w:rsidR="00DC5066" w:rsidRPr="00BA1B7B" w:rsidRDefault="00A97F97" w:rsidP="004A22FD">
      <w:pPr>
        <w:pStyle w:val="ListParagraph"/>
        <w:numPr>
          <w:ilvl w:val="1"/>
          <w:numId w:val="10"/>
        </w:numPr>
        <w:spacing w:line="276" w:lineRule="auto"/>
        <w:rPr>
          <w:rFonts w:ascii="Arial" w:hAnsi="Arial" w:cs="Arial"/>
          <w:sz w:val="20"/>
          <w:szCs w:val="20"/>
        </w:rPr>
      </w:pPr>
      <w:hyperlink r:id="rId39" w:history="1">
        <w:r w:rsidR="00DC5066" w:rsidRPr="00BA1B7B">
          <w:rPr>
            <w:rStyle w:val="Hyperlink"/>
            <w:rFonts w:ascii="Arial" w:hAnsi="Arial" w:cs="Arial"/>
            <w:color w:val="auto"/>
            <w:sz w:val="20"/>
            <w:szCs w:val="20"/>
          </w:rPr>
          <w:t>https://www.betterhealth.vic.gov.au/health/healthyliving/pregnancy-and-diet</w:t>
        </w:r>
      </w:hyperlink>
    </w:p>
    <w:p w14:paraId="276BAA8D" w14:textId="486B9BA4" w:rsidR="00DC5066" w:rsidRPr="00BA1B7B" w:rsidRDefault="00DC5066" w:rsidP="004A22FD">
      <w:pPr>
        <w:pStyle w:val="ListParagraph"/>
        <w:numPr>
          <w:ilvl w:val="0"/>
          <w:numId w:val="10"/>
        </w:numPr>
        <w:spacing w:line="276" w:lineRule="auto"/>
        <w:rPr>
          <w:rFonts w:ascii="Arial" w:hAnsi="Arial" w:cs="Arial"/>
          <w:sz w:val="20"/>
          <w:szCs w:val="20"/>
        </w:rPr>
      </w:pPr>
      <w:r w:rsidRPr="00BA1B7B">
        <w:rPr>
          <w:rFonts w:ascii="Arial" w:hAnsi="Arial" w:cs="Arial"/>
          <w:sz w:val="20"/>
          <w:szCs w:val="20"/>
        </w:rPr>
        <w:t>Exercise – Current guidelines recommend that women participate in physical a</w:t>
      </w:r>
      <w:r w:rsidR="005F1FD7">
        <w:rPr>
          <w:rFonts w:ascii="Arial" w:hAnsi="Arial" w:cs="Arial"/>
          <w:sz w:val="20"/>
          <w:szCs w:val="20"/>
        </w:rPr>
        <w:t xml:space="preserve">ctivity every day, aiming for </w:t>
      </w:r>
      <w:r w:rsidRPr="00BA1B7B">
        <w:rPr>
          <w:rFonts w:ascii="Arial" w:hAnsi="Arial" w:cs="Arial"/>
          <w:sz w:val="20"/>
          <w:szCs w:val="20"/>
        </w:rPr>
        <w:t xml:space="preserve">a minimum of at least 3 days per week for an average 50 minutes using a combination of aerobic exercise, strength, and flexibility training; this has been associated with less weight gain and reduced incidence of hypertensive disorders in pregnancy; there are no significant adverse effects of exercise in pregnancy. Safe examples of exercises for women to participate in when pregnant include brisk walking, swimming and cycling.  Physical activities that involve the risk of abdominal trauma, falls or excessive joint stress should be avoided.  </w:t>
      </w:r>
      <w:hyperlink r:id="rId40" w:history="1">
        <w:r w:rsidRPr="00BA1B7B">
          <w:rPr>
            <w:rFonts w:ascii="Arial" w:hAnsi="Arial" w:cs="Arial"/>
            <w:sz w:val="20"/>
            <w:szCs w:val="20"/>
            <w:u w:val="single"/>
          </w:rPr>
          <w:t>https://ranzcog.edu.au/RANZCOG_SITE/media/RANZCOG-MEDIA/Women%27s%20Health/Patient%20information/Exercise-during-pregnancy-pamphlet.pdf?ext=.pdf</w:t>
        </w:r>
      </w:hyperlink>
    </w:p>
    <w:p w14:paraId="687A9C77" w14:textId="77777777" w:rsidR="00DC5066" w:rsidRPr="00BA1B7B" w:rsidRDefault="00DC5066" w:rsidP="004A22FD">
      <w:pPr>
        <w:pStyle w:val="ListParagraph"/>
        <w:numPr>
          <w:ilvl w:val="0"/>
          <w:numId w:val="10"/>
        </w:numPr>
        <w:spacing w:line="276" w:lineRule="auto"/>
        <w:rPr>
          <w:rFonts w:ascii="Arial" w:hAnsi="Arial" w:cs="Arial"/>
          <w:sz w:val="20"/>
          <w:szCs w:val="20"/>
        </w:rPr>
      </w:pPr>
      <w:r w:rsidRPr="00BA1B7B">
        <w:rPr>
          <w:rFonts w:ascii="Arial" w:hAnsi="Arial" w:cs="Arial"/>
          <w:sz w:val="20"/>
          <w:szCs w:val="20"/>
        </w:rPr>
        <w:t>Smoking – Both women and their partners should be educated regarding the risks associated with smoking in pregnancy. Health professionals have an important role in assessing smoking status on first contact with a woman and supporting efforts to stop or reduce smoking at subsequent contacts.</w:t>
      </w:r>
    </w:p>
    <w:p w14:paraId="42D178BE" w14:textId="77777777" w:rsidR="00DC5066" w:rsidRPr="00BA1B7B" w:rsidRDefault="00DC5066" w:rsidP="004A22FD">
      <w:pPr>
        <w:pStyle w:val="ListParagraph"/>
        <w:numPr>
          <w:ilvl w:val="0"/>
          <w:numId w:val="10"/>
        </w:numPr>
        <w:spacing w:line="276" w:lineRule="auto"/>
        <w:rPr>
          <w:rFonts w:ascii="Arial" w:hAnsi="Arial" w:cs="Arial"/>
          <w:sz w:val="20"/>
          <w:szCs w:val="20"/>
        </w:rPr>
      </w:pPr>
      <w:r w:rsidRPr="00BA1B7B">
        <w:rPr>
          <w:rFonts w:ascii="Arial" w:hAnsi="Arial" w:cs="Arial"/>
          <w:sz w:val="20"/>
          <w:szCs w:val="20"/>
        </w:rPr>
        <w:t>Ongoing guidance and QUIT tools should be provided throughout the pregnancy, to encourage the reduction or cessation of smoking.</w:t>
      </w:r>
    </w:p>
    <w:p w14:paraId="7911DFFF" w14:textId="77777777" w:rsidR="00DC5066" w:rsidRPr="00BA1B7B" w:rsidRDefault="00A97F97" w:rsidP="004A22FD">
      <w:pPr>
        <w:pStyle w:val="ListParagraph"/>
        <w:numPr>
          <w:ilvl w:val="0"/>
          <w:numId w:val="10"/>
        </w:numPr>
        <w:spacing w:line="276" w:lineRule="auto"/>
        <w:rPr>
          <w:rFonts w:ascii="Arial" w:hAnsi="Arial" w:cs="Arial"/>
          <w:sz w:val="20"/>
          <w:szCs w:val="20"/>
        </w:rPr>
      </w:pPr>
      <w:hyperlink r:id="rId41" w:history="1">
        <w:r w:rsidR="00DC5066" w:rsidRPr="00BA1B7B">
          <w:rPr>
            <w:rStyle w:val="Hyperlink"/>
            <w:rFonts w:ascii="Arial" w:hAnsi="Arial" w:cs="Arial"/>
            <w:color w:val="auto"/>
            <w:sz w:val="20"/>
            <w:szCs w:val="20"/>
          </w:rPr>
          <w:t>https://www.quit.org.au/articles/the-risks-of-smoking-while-pregnant/</w:t>
        </w:r>
      </w:hyperlink>
      <w:r w:rsidR="00DC5066" w:rsidRPr="00BA1B7B">
        <w:rPr>
          <w:rFonts w:ascii="Arial" w:hAnsi="Arial" w:cs="Arial"/>
          <w:sz w:val="20"/>
          <w:szCs w:val="20"/>
        </w:rPr>
        <w:t xml:space="preserve"> </w:t>
      </w:r>
    </w:p>
    <w:p w14:paraId="3DCB24B6" w14:textId="37EBE995" w:rsidR="00DC5066" w:rsidRPr="00BA1B7B" w:rsidRDefault="00DC5066" w:rsidP="004A22FD">
      <w:pPr>
        <w:pStyle w:val="ListParagraph"/>
        <w:numPr>
          <w:ilvl w:val="0"/>
          <w:numId w:val="10"/>
        </w:numPr>
        <w:spacing w:line="276" w:lineRule="auto"/>
        <w:rPr>
          <w:rFonts w:ascii="Arial" w:hAnsi="Arial" w:cs="Arial"/>
          <w:sz w:val="20"/>
          <w:szCs w:val="20"/>
        </w:rPr>
      </w:pPr>
      <w:r w:rsidRPr="00BA1B7B">
        <w:rPr>
          <w:rFonts w:ascii="Arial" w:hAnsi="Arial" w:cs="Arial"/>
          <w:sz w:val="20"/>
          <w:szCs w:val="20"/>
        </w:rPr>
        <w:t>Weight optimization - There are recommended Gestational Weight Gain (GWG) ranges dependant on BMI.  There is insufficient evidence to recommend additional weight gain to obese pregnant women if they are eating a healthy balanced diet and not meeting the minimum weight gains below.</w:t>
      </w:r>
    </w:p>
    <w:p w14:paraId="354C2353" w14:textId="7D1309DA" w:rsidR="00F9589E" w:rsidRPr="00BA1B7B" w:rsidRDefault="00FA44B4" w:rsidP="004A22FD">
      <w:pPr>
        <w:pStyle w:val="ListParagraph"/>
        <w:numPr>
          <w:ilvl w:val="0"/>
          <w:numId w:val="10"/>
        </w:numPr>
        <w:spacing w:line="276" w:lineRule="auto"/>
        <w:rPr>
          <w:rFonts w:ascii="Arial" w:hAnsi="Arial" w:cs="Arial"/>
          <w:sz w:val="20"/>
          <w:szCs w:val="20"/>
        </w:rPr>
      </w:pPr>
      <w:r w:rsidRPr="00BA1B7B">
        <w:rPr>
          <w:rFonts w:ascii="Arial" w:hAnsi="Arial" w:cs="Arial"/>
          <w:sz w:val="20"/>
          <w:szCs w:val="20"/>
        </w:rPr>
        <w:t>Women with a BMI &gt; 40kg/m</w:t>
      </w:r>
      <w:r w:rsidRPr="00BA1B7B">
        <w:rPr>
          <w:rFonts w:ascii="Arial" w:hAnsi="Arial" w:cs="Arial"/>
          <w:sz w:val="20"/>
          <w:szCs w:val="20"/>
          <w:vertAlign w:val="superscript"/>
        </w:rPr>
        <w:t xml:space="preserve">2 </w:t>
      </w:r>
      <w:r w:rsidRPr="00BA1B7B">
        <w:rPr>
          <w:rFonts w:ascii="Arial" w:hAnsi="Arial" w:cs="Arial"/>
          <w:sz w:val="20"/>
          <w:szCs w:val="20"/>
        </w:rPr>
        <w:t>can be referred to the Pregnancy</w:t>
      </w:r>
      <w:r w:rsidR="000E081C" w:rsidRPr="00BA1B7B">
        <w:rPr>
          <w:rFonts w:ascii="Arial" w:hAnsi="Arial" w:cs="Arial"/>
          <w:sz w:val="20"/>
          <w:szCs w:val="20"/>
        </w:rPr>
        <w:t xml:space="preserve"> care</w:t>
      </w:r>
      <w:r w:rsidRPr="00BA1B7B">
        <w:rPr>
          <w:rFonts w:ascii="Arial" w:hAnsi="Arial" w:cs="Arial"/>
          <w:sz w:val="20"/>
          <w:szCs w:val="20"/>
        </w:rPr>
        <w:t>, Elevated BMI</w:t>
      </w:r>
      <w:r w:rsidR="000E081C" w:rsidRPr="00BA1B7B">
        <w:rPr>
          <w:rFonts w:ascii="Arial" w:hAnsi="Arial" w:cs="Arial"/>
          <w:sz w:val="20"/>
          <w:szCs w:val="20"/>
        </w:rPr>
        <w:t>, Ante-natal risk reduction and Lifestyle clinic (PEARL</w:t>
      </w:r>
      <w:r w:rsidR="005F1FD7" w:rsidRPr="00BA1B7B">
        <w:rPr>
          <w:rFonts w:ascii="Arial" w:hAnsi="Arial" w:cs="Arial"/>
          <w:sz w:val="20"/>
          <w:szCs w:val="20"/>
        </w:rPr>
        <w:t>) by</w:t>
      </w:r>
      <w:r w:rsidR="000E081C" w:rsidRPr="00BA1B7B">
        <w:rPr>
          <w:rFonts w:ascii="Arial" w:hAnsi="Arial" w:cs="Arial"/>
          <w:sz w:val="20"/>
          <w:szCs w:val="20"/>
        </w:rPr>
        <w:t xml:space="preserve"> highlighting BMI and requesting PEARL via usual booking system</w:t>
      </w:r>
      <w:r w:rsidR="000E081C" w:rsidRPr="00BA1B7B">
        <w:rPr>
          <w:rFonts w:ascii="Arial" w:hAnsi="Arial" w:cs="Arial"/>
          <w:b/>
          <w:bCs/>
          <w:sz w:val="20"/>
          <w:szCs w:val="20"/>
        </w:rPr>
        <w:t>.</w:t>
      </w:r>
    </w:p>
    <w:tbl>
      <w:tblPr>
        <w:tblW w:w="10064" w:type="dxa"/>
        <w:tblInd w:w="-23" w:type="dxa"/>
        <w:tblLayout w:type="fixed"/>
        <w:tblCellMar>
          <w:left w:w="0" w:type="dxa"/>
          <w:right w:w="0" w:type="dxa"/>
        </w:tblCellMar>
        <w:tblLook w:val="0000" w:firstRow="0" w:lastRow="0" w:firstColumn="0" w:lastColumn="0" w:noHBand="0" w:noVBand="0"/>
      </w:tblPr>
      <w:tblGrid>
        <w:gridCol w:w="2516"/>
        <w:gridCol w:w="35"/>
        <w:gridCol w:w="2481"/>
        <w:gridCol w:w="2480"/>
        <w:gridCol w:w="36"/>
        <w:gridCol w:w="2516"/>
      </w:tblGrid>
      <w:tr w:rsidR="004B7887" w:rsidRPr="00BA1B7B" w14:paraId="2082EB2A" w14:textId="77777777" w:rsidTr="004B7887">
        <w:tc>
          <w:tcPr>
            <w:tcW w:w="2551" w:type="dxa"/>
            <w:gridSpan w:val="2"/>
            <w:tcBorders>
              <w:top w:val="threeDEmboss" w:sz="6" w:space="0" w:color="auto"/>
              <w:left w:val="threeDEmboss" w:sz="6" w:space="0" w:color="auto"/>
              <w:bottom w:val="threeDEmboss" w:sz="6" w:space="0" w:color="auto"/>
              <w:right w:val="threeDEmboss" w:sz="6" w:space="0" w:color="auto"/>
            </w:tcBorders>
            <w:shd w:val="clear" w:color="auto" w:fill="689CFF" w:themeFill="text1" w:themeFillTint="66"/>
            <w:vAlign w:val="center"/>
          </w:tcPr>
          <w:p w14:paraId="75C3FF55" w14:textId="77777777" w:rsidR="004B7887" w:rsidRPr="00BA1B7B" w:rsidRDefault="004B7887" w:rsidP="006F52A5">
            <w:pPr>
              <w:spacing w:before="120" w:after="120" w:line="264" w:lineRule="auto"/>
              <w:ind w:left="127"/>
              <w:jc w:val="center"/>
              <w:rPr>
                <w:rFonts w:ascii="Calibri" w:hAnsi="Calibri" w:cs="Calibri"/>
                <w:sz w:val="18"/>
                <w:szCs w:val="18"/>
              </w:rPr>
            </w:pPr>
            <w:r w:rsidRPr="00BA1B7B">
              <w:rPr>
                <w:rFonts w:ascii="Calibri" w:hAnsi="Calibri" w:cs="Calibri"/>
                <w:b/>
                <w:bCs/>
                <w:sz w:val="18"/>
                <w:szCs w:val="18"/>
              </w:rPr>
              <w:t>Pre-pregnancy BMI (kg/m</w:t>
            </w:r>
            <w:r w:rsidRPr="00BA1B7B">
              <w:rPr>
                <w:rFonts w:ascii="Calibri" w:hAnsi="Calibri" w:cs="Calibri"/>
                <w:b/>
                <w:bCs/>
                <w:sz w:val="18"/>
                <w:szCs w:val="18"/>
                <w:vertAlign w:val="superscript"/>
              </w:rPr>
              <w:t>2</w:t>
            </w:r>
            <w:r w:rsidRPr="00BA1B7B">
              <w:rPr>
                <w:rFonts w:ascii="Calibri" w:hAnsi="Calibri" w:cs="Calibri"/>
                <w:b/>
                <w:bCs/>
                <w:sz w:val="18"/>
                <w:szCs w:val="18"/>
              </w:rPr>
              <w:t>)</w:t>
            </w:r>
          </w:p>
        </w:tc>
        <w:tc>
          <w:tcPr>
            <w:tcW w:w="2481" w:type="dxa"/>
            <w:tcBorders>
              <w:top w:val="threeDEmboss" w:sz="6" w:space="0" w:color="auto"/>
              <w:left w:val="threeDEmboss" w:sz="6" w:space="0" w:color="auto"/>
              <w:bottom w:val="threeDEmboss" w:sz="6" w:space="0" w:color="auto"/>
              <w:right w:val="threeDEmboss" w:sz="6" w:space="0" w:color="auto"/>
            </w:tcBorders>
            <w:shd w:val="clear" w:color="auto" w:fill="689CFF" w:themeFill="text1" w:themeFillTint="66"/>
          </w:tcPr>
          <w:p w14:paraId="7B275CDB" w14:textId="77777777" w:rsidR="004B7887" w:rsidRPr="00BA1B7B" w:rsidRDefault="004B7887" w:rsidP="006F52A5">
            <w:pPr>
              <w:spacing w:before="120" w:after="120" w:line="264" w:lineRule="auto"/>
              <w:jc w:val="center"/>
              <w:rPr>
                <w:rFonts w:ascii="Calibri" w:hAnsi="Calibri" w:cs="Calibri"/>
                <w:b/>
                <w:bCs/>
                <w:sz w:val="18"/>
                <w:szCs w:val="18"/>
              </w:rPr>
            </w:pPr>
            <w:r w:rsidRPr="00BA1B7B">
              <w:rPr>
                <w:rFonts w:ascii="Calibri" w:hAnsi="Calibri" w:cs="Calibri"/>
                <w:b/>
                <w:bCs/>
                <w:sz w:val="18"/>
                <w:szCs w:val="18"/>
              </w:rPr>
              <w:t>1</w:t>
            </w:r>
            <w:r w:rsidRPr="00BA1B7B">
              <w:rPr>
                <w:rFonts w:ascii="Calibri" w:hAnsi="Calibri" w:cs="Calibri"/>
                <w:b/>
                <w:bCs/>
                <w:sz w:val="18"/>
                <w:szCs w:val="18"/>
                <w:vertAlign w:val="superscript"/>
              </w:rPr>
              <w:t>st</w:t>
            </w:r>
            <w:r w:rsidRPr="00BA1B7B">
              <w:rPr>
                <w:rFonts w:ascii="Calibri" w:hAnsi="Calibri" w:cs="Calibri"/>
                <w:b/>
                <w:bCs/>
                <w:sz w:val="18"/>
                <w:szCs w:val="18"/>
              </w:rPr>
              <w:t xml:space="preserve"> trimester total weight gain</w:t>
            </w:r>
          </w:p>
        </w:tc>
        <w:tc>
          <w:tcPr>
            <w:tcW w:w="2516" w:type="dxa"/>
            <w:gridSpan w:val="2"/>
            <w:tcBorders>
              <w:top w:val="threeDEmboss" w:sz="6" w:space="0" w:color="auto"/>
              <w:left w:val="threeDEmboss" w:sz="6" w:space="0" w:color="auto"/>
              <w:bottom w:val="threeDEmboss" w:sz="6" w:space="0" w:color="auto"/>
              <w:right w:val="threeDEmboss" w:sz="6" w:space="0" w:color="auto"/>
            </w:tcBorders>
            <w:shd w:val="clear" w:color="auto" w:fill="689CFF" w:themeFill="text1" w:themeFillTint="66"/>
            <w:vAlign w:val="center"/>
          </w:tcPr>
          <w:p w14:paraId="30223CDD" w14:textId="77777777" w:rsidR="004B7887" w:rsidRPr="00BA1B7B" w:rsidRDefault="004B7887" w:rsidP="006F52A5">
            <w:pPr>
              <w:spacing w:before="120" w:after="120" w:line="264" w:lineRule="auto"/>
              <w:ind w:left="102"/>
              <w:jc w:val="center"/>
              <w:rPr>
                <w:rFonts w:ascii="Calibri" w:hAnsi="Calibri" w:cs="Calibri"/>
                <w:sz w:val="18"/>
                <w:szCs w:val="18"/>
              </w:rPr>
            </w:pPr>
            <w:r w:rsidRPr="00BA1B7B">
              <w:rPr>
                <w:rFonts w:ascii="Calibri" w:hAnsi="Calibri" w:cs="Calibri"/>
                <w:b/>
                <w:bCs/>
                <w:sz w:val="18"/>
                <w:szCs w:val="18"/>
              </w:rPr>
              <w:t>Rate of gain 2</w:t>
            </w:r>
            <w:r w:rsidRPr="00BA1B7B">
              <w:rPr>
                <w:rFonts w:ascii="Calibri" w:hAnsi="Calibri" w:cs="Calibri"/>
                <w:b/>
                <w:bCs/>
                <w:sz w:val="18"/>
                <w:szCs w:val="18"/>
                <w:vertAlign w:val="superscript"/>
              </w:rPr>
              <w:t>nd</w:t>
            </w:r>
            <w:r w:rsidRPr="00BA1B7B">
              <w:rPr>
                <w:rFonts w:ascii="Calibri" w:hAnsi="Calibri" w:cs="Calibri"/>
                <w:b/>
                <w:bCs/>
                <w:sz w:val="18"/>
                <w:szCs w:val="18"/>
              </w:rPr>
              <w:t xml:space="preserve"> and 3</w:t>
            </w:r>
            <w:r w:rsidRPr="00BA1B7B">
              <w:rPr>
                <w:rFonts w:ascii="Calibri" w:hAnsi="Calibri" w:cs="Calibri"/>
                <w:b/>
                <w:bCs/>
                <w:sz w:val="18"/>
                <w:szCs w:val="18"/>
                <w:vertAlign w:val="superscript"/>
              </w:rPr>
              <w:t xml:space="preserve">rd </w:t>
            </w:r>
            <w:r w:rsidRPr="00BA1B7B">
              <w:rPr>
                <w:rFonts w:ascii="Calibri" w:hAnsi="Calibri" w:cs="Calibri"/>
                <w:b/>
                <w:bCs/>
                <w:sz w:val="18"/>
                <w:szCs w:val="18"/>
              </w:rPr>
              <w:t>trimester (per week)</w:t>
            </w:r>
          </w:p>
        </w:tc>
        <w:tc>
          <w:tcPr>
            <w:tcW w:w="2516" w:type="dxa"/>
            <w:tcBorders>
              <w:top w:val="threeDEmboss" w:sz="6" w:space="0" w:color="auto"/>
              <w:left w:val="threeDEmboss" w:sz="6" w:space="0" w:color="auto"/>
              <w:bottom w:val="threeDEmboss" w:sz="6" w:space="0" w:color="auto"/>
              <w:right w:val="threeDEmboss" w:sz="6" w:space="0" w:color="auto"/>
            </w:tcBorders>
            <w:shd w:val="clear" w:color="auto" w:fill="689CFF" w:themeFill="text1" w:themeFillTint="66"/>
            <w:vAlign w:val="center"/>
          </w:tcPr>
          <w:p w14:paraId="2C85B524"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b/>
                <w:bCs/>
                <w:sz w:val="18"/>
                <w:szCs w:val="18"/>
              </w:rPr>
              <w:t>Recommended total gain range</w:t>
            </w:r>
          </w:p>
        </w:tc>
      </w:tr>
      <w:tr w:rsidR="004B7887" w:rsidRPr="00BA1B7B" w14:paraId="48C467AC" w14:textId="77777777" w:rsidTr="004B7887">
        <w:tc>
          <w:tcPr>
            <w:tcW w:w="10064" w:type="dxa"/>
            <w:gridSpan w:val="6"/>
            <w:tcBorders>
              <w:top w:val="threeDEmboss" w:sz="6" w:space="0" w:color="auto"/>
              <w:left w:val="threeDEmboss" w:sz="6" w:space="0" w:color="auto"/>
              <w:bottom w:val="threeDEmboss" w:sz="6" w:space="0" w:color="auto"/>
              <w:right w:val="threeDEmboss" w:sz="6" w:space="0" w:color="auto"/>
            </w:tcBorders>
            <w:shd w:val="clear" w:color="auto" w:fill="B3CDFF" w:themeFill="text1" w:themeFillTint="33"/>
            <w:vAlign w:val="center"/>
          </w:tcPr>
          <w:p w14:paraId="59846FDD" w14:textId="77777777" w:rsidR="004B7887" w:rsidRPr="00BA1B7B" w:rsidRDefault="004B7887" w:rsidP="006F52A5">
            <w:pPr>
              <w:spacing w:before="120" w:after="120" w:line="264" w:lineRule="auto"/>
              <w:ind w:left="129"/>
              <w:rPr>
                <w:rFonts w:ascii="Calibri" w:hAnsi="Calibri" w:cs="Calibri"/>
                <w:sz w:val="18"/>
                <w:szCs w:val="18"/>
              </w:rPr>
            </w:pPr>
            <w:r w:rsidRPr="00BA1B7B">
              <w:rPr>
                <w:rFonts w:ascii="Calibri" w:hAnsi="Calibri" w:cs="Calibri"/>
                <w:b/>
                <w:bCs/>
                <w:sz w:val="18"/>
                <w:szCs w:val="18"/>
              </w:rPr>
              <w:t>Non-Asian background</w:t>
            </w:r>
          </w:p>
        </w:tc>
      </w:tr>
      <w:tr w:rsidR="004B7887" w:rsidRPr="00BA1B7B" w14:paraId="523294FC" w14:textId="77777777" w:rsidTr="006F52A5">
        <w:tc>
          <w:tcPr>
            <w:tcW w:w="2551" w:type="dxa"/>
            <w:gridSpan w:val="2"/>
            <w:tcBorders>
              <w:top w:val="threeDEmboss" w:sz="6" w:space="0" w:color="auto"/>
              <w:left w:val="threeDEmboss" w:sz="6" w:space="0" w:color="auto"/>
              <w:bottom w:val="threeDEmboss" w:sz="6" w:space="0" w:color="auto"/>
              <w:right w:val="threeDEmboss" w:sz="6" w:space="0" w:color="auto"/>
            </w:tcBorders>
            <w:vAlign w:val="center"/>
          </w:tcPr>
          <w:p w14:paraId="31CA0B06"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&lt;18.5</w:t>
            </w:r>
          </w:p>
        </w:tc>
        <w:tc>
          <w:tcPr>
            <w:tcW w:w="2481" w:type="dxa"/>
            <w:vMerge w:val="restart"/>
            <w:tcBorders>
              <w:top w:val="threeDEmboss" w:sz="6" w:space="0" w:color="auto"/>
              <w:left w:val="threeDEmboss" w:sz="6" w:space="0" w:color="auto"/>
              <w:right w:val="threeDEmboss" w:sz="6" w:space="0" w:color="auto"/>
            </w:tcBorders>
            <w:vAlign w:val="center"/>
          </w:tcPr>
          <w:p w14:paraId="2F15C158"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0.5-2kg</w:t>
            </w:r>
          </w:p>
        </w:tc>
        <w:tc>
          <w:tcPr>
            <w:tcW w:w="2516" w:type="dxa"/>
            <w:gridSpan w:val="2"/>
            <w:tcBorders>
              <w:top w:val="threeDEmboss" w:sz="6" w:space="0" w:color="auto"/>
              <w:left w:val="threeDEmboss" w:sz="6" w:space="0" w:color="auto"/>
              <w:bottom w:val="threeDEmboss" w:sz="6" w:space="0" w:color="auto"/>
              <w:right w:val="threeDEmboss" w:sz="6" w:space="0" w:color="auto"/>
            </w:tcBorders>
            <w:vAlign w:val="center"/>
          </w:tcPr>
          <w:p w14:paraId="70A7107A"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0.5kg</w:t>
            </w:r>
          </w:p>
        </w:tc>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54300B69"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12.5 to 18kg</w:t>
            </w:r>
          </w:p>
        </w:tc>
      </w:tr>
      <w:tr w:rsidR="004B7887" w:rsidRPr="00BA1B7B" w14:paraId="49275C31" w14:textId="77777777" w:rsidTr="006F52A5">
        <w:tc>
          <w:tcPr>
            <w:tcW w:w="2551" w:type="dxa"/>
            <w:gridSpan w:val="2"/>
            <w:tcBorders>
              <w:top w:val="threeDEmboss" w:sz="6" w:space="0" w:color="auto"/>
              <w:left w:val="threeDEmboss" w:sz="6" w:space="0" w:color="auto"/>
              <w:bottom w:val="threeDEmboss" w:sz="6" w:space="0" w:color="auto"/>
              <w:right w:val="threeDEmboss" w:sz="6" w:space="0" w:color="auto"/>
            </w:tcBorders>
            <w:vAlign w:val="center"/>
          </w:tcPr>
          <w:p w14:paraId="798A5937"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18.5 to 24.9</w:t>
            </w:r>
          </w:p>
        </w:tc>
        <w:tc>
          <w:tcPr>
            <w:tcW w:w="2481" w:type="dxa"/>
            <w:vMerge/>
            <w:tcBorders>
              <w:left w:val="threeDEmboss" w:sz="6" w:space="0" w:color="auto"/>
              <w:right w:val="threeDEmboss" w:sz="6" w:space="0" w:color="auto"/>
            </w:tcBorders>
          </w:tcPr>
          <w:p w14:paraId="4B8D92BC" w14:textId="77777777" w:rsidR="004B7887" w:rsidRPr="00BA1B7B" w:rsidRDefault="004B7887" w:rsidP="006F52A5">
            <w:pPr>
              <w:spacing w:before="120" w:after="120" w:line="264" w:lineRule="auto"/>
              <w:rPr>
                <w:rFonts w:ascii="Calibri" w:hAnsi="Calibri" w:cs="Calibri"/>
                <w:sz w:val="18"/>
                <w:szCs w:val="18"/>
              </w:rPr>
            </w:pPr>
          </w:p>
        </w:tc>
        <w:tc>
          <w:tcPr>
            <w:tcW w:w="2516" w:type="dxa"/>
            <w:gridSpan w:val="2"/>
            <w:tcBorders>
              <w:top w:val="threeDEmboss" w:sz="6" w:space="0" w:color="auto"/>
              <w:left w:val="threeDEmboss" w:sz="6" w:space="0" w:color="auto"/>
              <w:bottom w:val="threeDEmboss" w:sz="6" w:space="0" w:color="auto"/>
              <w:right w:val="threeDEmboss" w:sz="6" w:space="0" w:color="auto"/>
            </w:tcBorders>
            <w:vAlign w:val="center"/>
          </w:tcPr>
          <w:p w14:paraId="1143049A"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0.4kg</w:t>
            </w:r>
          </w:p>
        </w:tc>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5314344D"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11.5 to 16kg</w:t>
            </w:r>
          </w:p>
        </w:tc>
      </w:tr>
      <w:tr w:rsidR="004B7887" w:rsidRPr="00BA1B7B" w14:paraId="7B7D471E" w14:textId="77777777" w:rsidTr="006F52A5">
        <w:tc>
          <w:tcPr>
            <w:tcW w:w="2551" w:type="dxa"/>
            <w:gridSpan w:val="2"/>
            <w:tcBorders>
              <w:top w:val="threeDEmboss" w:sz="6" w:space="0" w:color="auto"/>
              <w:left w:val="threeDEmboss" w:sz="6" w:space="0" w:color="auto"/>
              <w:bottom w:val="threeDEmboss" w:sz="6" w:space="0" w:color="auto"/>
              <w:right w:val="threeDEmboss" w:sz="6" w:space="0" w:color="auto"/>
            </w:tcBorders>
            <w:vAlign w:val="center"/>
          </w:tcPr>
          <w:p w14:paraId="0608A510"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25.0 to 29.9</w:t>
            </w:r>
          </w:p>
        </w:tc>
        <w:tc>
          <w:tcPr>
            <w:tcW w:w="2481" w:type="dxa"/>
            <w:vMerge/>
            <w:tcBorders>
              <w:left w:val="threeDEmboss" w:sz="6" w:space="0" w:color="auto"/>
              <w:right w:val="threeDEmboss" w:sz="6" w:space="0" w:color="auto"/>
            </w:tcBorders>
          </w:tcPr>
          <w:p w14:paraId="14B10173" w14:textId="77777777" w:rsidR="004B7887" w:rsidRPr="00BA1B7B" w:rsidRDefault="004B7887" w:rsidP="006F52A5">
            <w:pPr>
              <w:spacing w:before="120" w:after="120" w:line="264" w:lineRule="auto"/>
              <w:rPr>
                <w:rFonts w:ascii="Calibri" w:hAnsi="Calibri" w:cs="Calibri"/>
                <w:sz w:val="18"/>
                <w:szCs w:val="18"/>
              </w:rPr>
            </w:pPr>
          </w:p>
        </w:tc>
        <w:tc>
          <w:tcPr>
            <w:tcW w:w="2516" w:type="dxa"/>
            <w:gridSpan w:val="2"/>
            <w:tcBorders>
              <w:top w:val="threeDEmboss" w:sz="6" w:space="0" w:color="auto"/>
              <w:left w:val="threeDEmboss" w:sz="6" w:space="0" w:color="auto"/>
              <w:bottom w:val="threeDEmboss" w:sz="6" w:space="0" w:color="auto"/>
              <w:right w:val="threeDEmboss" w:sz="6" w:space="0" w:color="auto"/>
            </w:tcBorders>
            <w:vAlign w:val="center"/>
          </w:tcPr>
          <w:p w14:paraId="659159D0"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0.3kg</w:t>
            </w:r>
          </w:p>
        </w:tc>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142F73E1"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7 to 11.5kg</w:t>
            </w:r>
          </w:p>
        </w:tc>
      </w:tr>
      <w:tr w:rsidR="004B7887" w:rsidRPr="00BA1B7B" w14:paraId="24451106" w14:textId="77777777" w:rsidTr="006F52A5">
        <w:tc>
          <w:tcPr>
            <w:tcW w:w="2551" w:type="dxa"/>
            <w:gridSpan w:val="2"/>
            <w:tcBorders>
              <w:top w:val="threeDEmboss" w:sz="6" w:space="0" w:color="auto"/>
              <w:left w:val="threeDEmboss" w:sz="6" w:space="0" w:color="auto"/>
              <w:bottom w:val="threeDEmboss" w:sz="6" w:space="0" w:color="auto"/>
              <w:right w:val="threeDEmboss" w:sz="6" w:space="0" w:color="auto"/>
            </w:tcBorders>
            <w:vAlign w:val="center"/>
          </w:tcPr>
          <w:p w14:paraId="101E3593"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≥30.0</w:t>
            </w:r>
          </w:p>
        </w:tc>
        <w:tc>
          <w:tcPr>
            <w:tcW w:w="2481" w:type="dxa"/>
            <w:vMerge/>
            <w:tcBorders>
              <w:left w:val="threeDEmboss" w:sz="6" w:space="0" w:color="auto"/>
              <w:bottom w:val="threeDEmboss" w:sz="6" w:space="0" w:color="auto"/>
              <w:right w:val="threeDEmboss" w:sz="6" w:space="0" w:color="auto"/>
            </w:tcBorders>
          </w:tcPr>
          <w:p w14:paraId="71F9FCA0" w14:textId="77777777" w:rsidR="004B7887" w:rsidRPr="00BA1B7B" w:rsidRDefault="004B7887" w:rsidP="006F52A5">
            <w:pPr>
              <w:spacing w:before="120" w:after="120" w:line="264" w:lineRule="auto"/>
              <w:rPr>
                <w:rFonts w:ascii="Calibri" w:hAnsi="Calibri" w:cs="Calibri"/>
                <w:sz w:val="18"/>
                <w:szCs w:val="18"/>
              </w:rPr>
            </w:pPr>
          </w:p>
        </w:tc>
        <w:tc>
          <w:tcPr>
            <w:tcW w:w="2516" w:type="dxa"/>
            <w:gridSpan w:val="2"/>
            <w:tcBorders>
              <w:top w:val="threeDEmboss" w:sz="6" w:space="0" w:color="auto"/>
              <w:left w:val="threeDEmboss" w:sz="6" w:space="0" w:color="auto"/>
              <w:bottom w:val="threeDEmboss" w:sz="6" w:space="0" w:color="auto"/>
              <w:right w:val="threeDEmboss" w:sz="6" w:space="0" w:color="auto"/>
            </w:tcBorders>
            <w:vAlign w:val="center"/>
          </w:tcPr>
          <w:p w14:paraId="1E5D771F"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0.2kg</w:t>
            </w:r>
          </w:p>
        </w:tc>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02AF9072"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5 to 9kg</w:t>
            </w:r>
          </w:p>
        </w:tc>
      </w:tr>
      <w:tr w:rsidR="004B7887" w:rsidRPr="00BA1B7B" w14:paraId="1EB01460" w14:textId="77777777" w:rsidTr="004B7887">
        <w:tc>
          <w:tcPr>
            <w:tcW w:w="10064" w:type="dxa"/>
            <w:gridSpan w:val="6"/>
            <w:tcBorders>
              <w:top w:val="threeDEmboss" w:sz="6" w:space="0" w:color="auto"/>
              <w:left w:val="threeDEmboss" w:sz="6" w:space="0" w:color="auto"/>
              <w:bottom w:val="threeDEmboss" w:sz="6" w:space="0" w:color="auto"/>
              <w:right w:val="threeDEmboss" w:sz="6" w:space="0" w:color="auto"/>
            </w:tcBorders>
            <w:shd w:val="clear" w:color="auto" w:fill="B3CDFF" w:themeFill="text1" w:themeFillTint="33"/>
            <w:vAlign w:val="center"/>
          </w:tcPr>
          <w:p w14:paraId="08AAE216" w14:textId="77777777" w:rsidR="004B7887" w:rsidRPr="00BA1B7B" w:rsidRDefault="004B7887" w:rsidP="006F52A5">
            <w:pPr>
              <w:spacing w:before="120" w:after="120" w:line="264" w:lineRule="auto"/>
              <w:ind w:left="129"/>
              <w:rPr>
                <w:rFonts w:ascii="Calibri" w:hAnsi="Calibri" w:cs="Calibri"/>
                <w:sz w:val="18"/>
                <w:szCs w:val="18"/>
              </w:rPr>
            </w:pPr>
            <w:r w:rsidRPr="00BA1B7B">
              <w:rPr>
                <w:rFonts w:ascii="Calibri" w:hAnsi="Calibri" w:cs="Calibri"/>
                <w:b/>
                <w:sz w:val="18"/>
                <w:szCs w:val="18"/>
              </w:rPr>
              <w:t>Asian background</w:t>
            </w:r>
          </w:p>
        </w:tc>
      </w:tr>
      <w:tr w:rsidR="004B7887" w:rsidRPr="00BA1B7B" w14:paraId="257DE376" w14:textId="77777777" w:rsidTr="006F52A5">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640A6B0F"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lastRenderedPageBreak/>
              <w:t>&lt;18.5</w:t>
            </w:r>
          </w:p>
        </w:tc>
        <w:tc>
          <w:tcPr>
            <w:tcW w:w="2516" w:type="dxa"/>
            <w:gridSpan w:val="2"/>
            <w:vMerge w:val="restart"/>
            <w:tcBorders>
              <w:top w:val="threeDEmboss" w:sz="6" w:space="0" w:color="auto"/>
              <w:left w:val="threeDEmboss" w:sz="6" w:space="0" w:color="auto"/>
              <w:right w:val="threeDEmboss" w:sz="6" w:space="0" w:color="auto"/>
            </w:tcBorders>
            <w:vAlign w:val="center"/>
          </w:tcPr>
          <w:p w14:paraId="7EBA0386"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0.5-2kg</w:t>
            </w:r>
          </w:p>
        </w:tc>
        <w:tc>
          <w:tcPr>
            <w:tcW w:w="2516" w:type="dxa"/>
            <w:gridSpan w:val="2"/>
            <w:tcBorders>
              <w:top w:val="threeDEmboss" w:sz="6" w:space="0" w:color="auto"/>
              <w:left w:val="threeDEmboss" w:sz="6" w:space="0" w:color="auto"/>
              <w:bottom w:val="threeDEmboss" w:sz="6" w:space="0" w:color="auto"/>
              <w:right w:val="threeDEmboss" w:sz="6" w:space="0" w:color="auto"/>
            </w:tcBorders>
            <w:vAlign w:val="center"/>
          </w:tcPr>
          <w:p w14:paraId="41262D28"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0.5kg</w:t>
            </w:r>
          </w:p>
        </w:tc>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709F2C92"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12.5 to 18kg</w:t>
            </w:r>
          </w:p>
        </w:tc>
      </w:tr>
      <w:tr w:rsidR="004B7887" w:rsidRPr="00BA1B7B" w14:paraId="25E8AF61" w14:textId="77777777" w:rsidTr="006F52A5">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698BFA9C"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18.5 to 22.9</w:t>
            </w:r>
          </w:p>
        </w:tc>
        <w:tc>
          <w:tcPr>
            <w:tcW w:w="2516" w:type="dxa"/>
            <w:gridSpan w:val="2"/>
            <w:vMerge/>
            <w:tcBorders>
              <w:left w:val="threeDEmboss" w:sz="6" w:space="0" w:color="auto"/>
              <w:right w:val="threeDEmboss" w:sz="6" w:space="0" w:color="auto"/>
            </w:tcBorders>
          </w:tcPr>
          <w:p w14:paraId="3A1A1D38" w14:textId="77777777" w:rsidR="004B7887" w:rsidRPr="00BA1B7B" w:rsidRDefault="004B7887" w:rsidP="006F52A5">
            <w:pPr>
              <w:spacing w:before="120" w:after="120" w:line="264" w:lineRule="auto"/>
              <w:rPr>
                <w:rFonts w:ascii="Calibri" w:hAnsi="Calibri" w:cs="Calibri"/>
                <w:sz w:val="18"/>
                <w:szCs w:val="18"/>
              </w:rPr>
            </w:pPr>
          </w:p>
        </w:tc>
        <w:tc>
          <w:tcPr>
            <w:tcW w:w="2516" w:type="dxa"/>
            <w:gridSpan w:val="2"/>
            <w:tcBorders>
              <w:top w:val="threeDEmboss" w:sz="6" w:space="0" w:color="auto"/>
              <w:left w:val="threeDEmboss" w:sz="6" w:space="0" w:color="auto"/>
              <w:bottom w:val="threeDEmboss" w:sz="6" w:space="0" w:color="auto"/>
              <w:right w:val="threeDEmboss" w:sz="6" w:space="0" w:color="auto"/>
            </w:tcBorders>
            <w:vAlign w:val="center"/>
          </w:tcPr>
          <w:p w14:paraId="16DFD26D"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0.4kg</w:t>
            </w:r>
          </w:p>
        </w:tc>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23985459"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11.5 to 16kg</w:t>
            </w:r>
          </w:p>
        </w:tc>
      </w:tr>
      <w:tr w:rsidR="004B7887" w:rsidRPr="00BA1B7B" w14:paraId="627257BA" w14:textId="77777777" w:rsidTr="006F52A5">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6A9CD5EE"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22.9 to 27.5</w:t>
            </w:r>
          </w:p>
        </w:tc>
        <w:tc>
          <w:tcPr>
            <w:tcW w:w="2516" w:type="dxa"/>
            <w:gridSpan w:val="2"/>
            <w:vMerge/>
            <w:tcBorders>
              <w:left w:val="threeDEmboss" w:sz="6" w:space="0" w:color="auto"/>
              <w:right w:val="threeDEmboss" w:sz="6" w:space="0" w:color="auto"/>
            </w:tcBorders>
          </w:tcPr>
          <w:p w14:paraId="1DC8066C" w14:textId="77777777" w:rsidR="004B7887" w:rsidRPr="00BA1B7B" w:rsidRDefault="004B7887" w:rsidP="006F52A5">
            <w:pPr>
              <w:spacing w:before="120" w:after="120" w:line="264" w:lineRule="auto"/>
              <w:rPr>
                <w:rFonts w:ascii="Calibri" w:hAnsi="Calibri" w:cs="Calibri"/>
                <w:sz w:val="18"/>
                <w:szCs w:val="18"/>
              </w:rPr>
            </w:pPr>
          </w:p>
        </w:tc>
        <w:tc>
          <w:tcPr>
            <w:tcW w:w="2516" w:type="dxa"/>
            <w:gridSpan w:val="2"/>
            <w:tcBorders>
              <w:top w:val="threeDEmboss" w:sz="6" w:space="0" w:color="auto"/>
              <w:left w:val="threeDEmboss" w:sz="6" w:space="0" w:color="auto"/>
              <w:bottom w:val="threeDEmboss" w:sz="6" w:space="0" w:color="auto"/>
              <w:right w:val="threeDEmboss" w:sz="6" w:space="0" w:color="auto"/>
            </w:tcBorders>
            <w:vAlign w:val="center"/>
          </w:tcPr>
          <w:p w14:paraId="1DAB137C"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0.3kg</w:t>
            </w:r>
          </w:p>
        </w:tc>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47174301"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7 to 11.5kg</w:t>
            </w:r>
          </w:p>
        </w:tc>
      </w:tr>
      <w:tr w:rsidR="004B7887" w:rsidRPr="00BA1B7B" w14:paraId="6D64B4A3" w14:textId="77777777" w:rsidTr="006F52A5">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579C56A8"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&gt;27.5</w:t>
            </w:r>
          </w:p>
        </w:tc>
        <w:tc>
          <w:tcPr>
            <w:tcW w:w="2516" w:type="dxa"/>
            <w:gridSpan w:val="2"/>
            <w:vMerge/>
            <w:tcBorders>
              <w:left w:val="threeDEmboss" w:sz="6" w:space="0" w:color="auto"/>
              <w:bottom w:val="threeDEmboss" w:sz="6" w:space="0" w:color="auto"/>
              <w:right w:val="threeDEmboss" w:sz="6" w:space="0" w:color="auto"/>
            </w:tcBorders>
          </w:tcPr>
          <w:p w14:paraId="23B54DF0" w14:textId="77777777" w:rsidR="004B7887" w:rsidRPr="00BA1B7B" w:rsidRDefault="004B7887" w:rsidP="006F52A5">
            <w:pPr>
              <w:spacing w:before="120" w:after="120" w:line="264" w:lineRule="auto"/>
              <w:rPr>
                <w:rFonts w:ascii="Calibri" w:hAnsi="Calibri" w:cs="Calibri"/>
                <w:sz w:val="18"/>
                <w:szCs w:val="18"/>
              </w:rPr>
            </w:pPr>
          </w:p>
        </w:tc>
        <w:tc>
          <w:tcPr>
            <w:tcW w:w="2516" w:type="dxa"/>
            <w:gridSpan w:val="2"/>
            <w:tcBorders>
              <w:top w:val="threeDEmboss" w:sz="6" w:space="0" w:color="auto"/>
              <w:left w:val="threeDEmboss" w:sz="6" w:space="0" w:color="auto"/>
              <w:bottom w:val="threeDEmboss" w:sz="6" w:space="0" w:color="auto"/>
              <w:right w:val="threeDEmboss" w:sz="6" w:space="0" w:color="auto"/>
            </w:tcBorders>
            <w:vAlign w:val="center"/>
          </w:tcPr>
          <w:p w14:paraId="7D7BC108" w14:textId="77777777" w:rsidR="004B7887" w:rsidRPr="00BA1B7B" w:rsidRDefault="004B7887" w:rsidP="006F52A5">
            <w:pPr>
              <w:spacing w:before="120" w:after="120" w:line="264" w:lineRule="auto"/>
              <w:jc w:val="center"/>
              <w:rPr>
                <w:rFonts w:ascii="Calibri" w:hAnsi="Calibri" w:cs="Calibri"/>
                <w:sz w:val="18"/>
                <w:szCs w:val="18"/>
              </w:rPr>
            </w:pPr>
          </w:p>
        </w:tc>
        <w:tc>
          <w:tcPr>
            <w:tcW w:w="2516" w:type="dxa"/>
            <w:tcBorders>
              <w:top w:val="threeDEmboss" w:sz="6" w:space="0" w:color="auto"/>
              <w:left w:val="threeDEmboss" w:sz="6" w:space="0" w:color="auto"/>
              <w:bottom w:val="threeDEmboss" w:sz="6" w:space="0" w:color="auto"/>
              <w:right w:val="threeDEmboss" w:sz="6" w:space="0" w:color="auto"/>
            </w:tcBorders>
            <w:vAlign w:val="center"/>
          </w:tcPr>
          <w:p w14:paraId="0FA94FBD" w14:textId="77777777" w:rsidR="004B7887" w:rsidRPr="00BA1B7B" w:rsidRDefault="004B7887" w:rsidP="006F52A5">
            <w:pPr>
              <w:spacing w:before="120" w:after="120" w:line="264" w:lineRule="auto"/>
              <w:jc w:val="center"/>
              <w:rPr>
                <w:rFonts w:ascii="Calibri" w:hAnsi="Calibri" w:cs="Calibri"/>
                <w:sz w:val="18"/>
                <w:szCs w:val="18"/>
              </w:rPr>
            </w:pPr>
            <w:r w:rsidRPr="00BA1B7B">
              <w:rPr>
                <w:rFonts w:ascii="Calibri" w:hAnsi="Calibri" w:cs="Calibri"/>
                <w:sz w:val="18"/>
                <w:szCs w:val="18"/>
              </w:rPr>
              <w:t>7kg</w:t>
            </w:r>
          </w:p>
        </w:tc>
      </w:tr>
      <w:tr w:rsidR="004B7887" w:rsidRPr="00BA1B7B" w14:paraId="0E34EF11" w14:textId="77777777" w:rsidTr="004B7887">
        <w:tc>
          <w:tcPr>
            <w:tcW w:w="10064" w:type="dxa"/>
            <w:gridSpan w:val="6"/>
            <w:tcBorders>
              <w:top w:val="threeDEmboss" w:sz="6" w:space="0" w:color="auto"/>
              <w:left w:val="threeDEmboss" w:sz="6" w:space="0" w:color="auto"/>
              <w:bottom w:val="threeDEmboss" w:sz="6" w:space="0" w:color="auto"/>
              <w:right w:val="threeDEmboss" w:sz="6" w:space="0" w:color="auto"/>
            </w:tcBorders>
            <w:shd w:val="clear" w:color="auto" w:fill="B3CDFF" w:themeFill="text1" w:themeFillTint="33"/>
            <w:vAlign w:val="center"/>
          </w:tcPr>
          <w:p w14:paraId="4B72CD25" w14:textId="77777777" w:rsidR="004B7887" w:rsidRPr="00BA1B7B" w:rsidRDefault="004B7887" w:rsidP="006F52A5">
            <w:pPr>
              <w:spacing w:before="120" w:after="120" w:line="264" w:lineRule="auto"/>
              <w:ind w:left="129"/>
              <w:rPr>
                <w:rFonts w:ascii="Calibri" w:hAnsi="Calibri" w:cs="Calibri"/>
                <w:sz w:val="18"/>
                <w:szCs w:val="18"/>
              </w:rPr>
            </w:pPr>
            <w:r w:rsidRPr="00BA1B7B">
              <w:rPr>
                <w:rFonts w:ascii="Calibri" w:hAnsi="Calibri" w:cs="Calibri"/>
                <w:b/>
                <w:sz w:val="18"/>
                <w:szCs w:val="18"/>
              </w:rPr>
              <w:t>Twin and Triplet pregnancy</w:t>
            </w:r>
          </w:p>
        </w:tc>
      </w:tr>
      <w:tr w:rsidR="004B7887" w:rsidRPr="00BA1B7B" w14:paraId="78A93222" w14:textId="77777777" w:rsidTr="006F52A5">
        <w:tc>
          <w:tcPr>
            <w:tcW w:w="2551" w:type="dxa"/>
            <w:gridSpan w:val="2"/>
            <w:tcBorders>
              <w:top w:val="threeDEmboss" w:sz="6" w:space="0" w:color="auto"/>
              <w:left w:val="threeDEmboss" w:sz="6" w:space="0" w:color="auto"/>
              <w:bottom w:val="threeDEmboss" w:sz="6" w:space="0" w:color="auto"/>
              <w:right w:val="threeDEmboss" w:sz="6" w:space="0" w:color="auto"/>
            </w:tcBorders>
            <w:vAlign w:val="center"/>
          </w:tcPr>
          <w:p w14:paraId="1FC424DD"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18.5 to 24.9</w:t>
            </w:r>
          </w:p>
        </w:tc>
        <w:tc>
          <w:tcPr>
            <w:tcW w:w="4961" w:type="dxa"/>
            <w:gridSpan w:val="2"/>
            <w:vMerge w:val="restart"/>
            <w:tcBorders>
              <w:top w:val="threeDEmboss" w:sz="6" w:space="0" w:color="auto"/>
              <w:left w:val="threeDEmboss" w:sz="6" w:space="0" w:color="auto"/>
              <w:right w:val="threeDEmboss" w:sz="6" w:space="0" w:color="auto"/>
            </w:tcBorders>
          </w:tcPr>
          <w:p w14:paraId="42C6E2EA" w14:textId="77777777" w:rsidR="004B7887" w:rsidRPr="00BA1B7B" w:rsidRDefault="004B7887" w:rsidP="006F52A5">
            <w:pPr>
              <w:spacing w:before="120" w:after="120" w:line="264" w:lineRule="auto"/>
              <w:rPr>
                <w:rFonts w:ascii="Calibri" w:hAnsi="Calibri" w:cs="Calibri"/>
                <w:sz w:val="18"/>
                <w:szCs w:val="18"/>
              </w:rPr>
            </w:pPr>
          </w:p>
        </w:tc>
        <w:tc>
          <w:tcPr>
            <w:tcW w:w="2552" w:type="dxa"/>
            <w:gridSpan w:val="2"/>
            <w:tcBorders>
              <w:top w:val="threeDEmboss" w:sz="6" w:space="0" w:color="auto"/>
              <w:left w:val="threeDEmboss" w:sz="6" w:space="0" w:color="auto"/>
              <w:bottom w:val="threeDEmboss" w:sz="6" w:space="0" w:color="auto"/>
              <w:right w:val="threeDEmboss" w:sz="6" w:space="0" w:color="auto"/>
            </w:tcBorders>
            <w:vAlign w:val="center"/>
          </w:tcPr>
          <w:p w14:paraId="62FC006D" w14:textId="77777777" w:rsidR="004B7887" w:rsidRPr="00BA1B7B" w:rsidRDefault="004B7887" w:rsidP="006F52A5">
            <w:pPr>
              <w:spacing w:before="120" w:after="120" w:line="264" w:lineRule="auto"/>
              <w:ind w:left="108"/>
              <w:jc w:val="center"/>
              <w:rPr>
                <w:rFonts w:ascii="Calibri" w:hAnsi="Calibri" w:cs="Calibri"/>
                <w:sz w:val="18"/>
                <w:szCs w:val="18"/>
              </w:rPr>
            </w:pPr>
            <w:r w:rsidRPr="00BA1B7B">
              <w:rPr>
                <w:rFonts w:ascii="Calibri" w:hAnsi="Calibri" w:cs="Calibri"/>
                <w:sz w:val="18"/>
                <w:szCs w:val="18"/>
              </w:rPr>
              <w:t>17-25kg</w:t>
            </w:r>
          </w:p>
        </w:tc>
      </w:tr>
      <w:tr w:rsidR="004B7887" w:rsidRPr="00BA1B7B" w14:paraId="25B53634" w14:textId="77777777" w:rsidTr="006F52A5">
        <w:tc>
          <w:tcPr>
            <w:tcW w:w="2551" w:type="dxa"/>
            <w:gridSpan w:val="2"/>
            <w:tcBorders>
              <w:top w:val="threeDEmboss" w:sz="6" w:space="0" w:color="auto"/>
              <w:left w:val="threeDEmboss" w:sz="6" w:space="0" w:color="auto"/>
              <w:bottom w:val="threeDEmboss" w:sz="6" w:space="0" w:color="auto"/>
              <w:right w:val="threeDEmboss" w:sz="6" w:space="0" w:color="auto"/>
            </w:tcBorders>
            <w:vAlign w:val="center"/>
          </w:tcPr>
          <w:p w14:paraId="0DF528B5"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25.0 to 29.9</w:t>
            </w:r>
          </w:p>
        </w:tc>
        <w:tc>
          <w:tcPr>
            <w:tcW w:w="4961" w:type="dxa"/>
            <w:gridSpan w:val="2"/>
            <w:vMerge/>
            <w:tcBorders>
              <w:left w:val="threeDEmboss" w:sz="6" w:space="0" w:color="auto"/>
              <w:right w:val="threeDEmboss" w:sz="6" w:space="0" w:color="auto"/>
            </w:tcBorders>
          </w:tcPr>
          <w:p w14:paraId="11276007" w14:textId="77777777" w:rsidR="004B7887" w:rsidRPr="00BA1B7B" w:rsidRDefault="004B7887" w:rsidP="006F52A5">
            <w:pPr>
              <w:spacing w:before="120" w:after="120" w:line="264" w:lineRule="auto"/>
              <w:rPr>
                <w:rFonts w:ascii="Calibri" w:hAnsi="Calibri" w:cs="Calibri"/>
                <w:sz w:val="18"/>
                <w:szCs w:val="18"/>
              </w:rPr>
            </w:pPr>
          </w:p>
        </w:tc>
        <w:tc>
          <w:tcPr>
            <w:tcW w:w="2552" w:type="dxa"/>
            <w:gridSpan w:val="2"/>
            <w:tcBorders>
              <w:top w:val="threeDEmboss" w:sz="6" w:space="0" w:color="auto"/>
              <w:left w:val="threeDEmboss" w:sz="6" w:space="0" w:color="auto"/>
              <w:bottom w:val="threeDEmboss" w:sz="6" w:space="0" w:color="auto"/>
              <w:right w:val="threeDEmboss" w:sz="6" w:space="0" w:color="auto"/>
            </w:tcBorders>
            <w:vAlign w:val="center"/>
          </w:tcPr>
          <w:p w14:paraId="2E9BAFD4" w14:textId="77777777" w:rsidR="004B7887" w:rsidRPr="00BA1B7B" w:rsidRDefault="004B7887" w:rsidP="006F52A5">
            <w:pPr>
              <w:spacing w:before="120" w:after="120" w:line="264" w:lineRule="auto"/>
              <w:ind w:left="108"/>
              <w:jc w:val="center"/>
              <w:rPr>
                <w:rFonts w:ascii="Calibri" w:hAnsi="Calibri" w:cs="Calibri"/>
                <w:sz w:val="18"/>
                <w:szCs w:val="18"/>
              </w:rPr>
            </w:pPr>
            <w:r w:rsidRPr="00BA1B7B">
              <w:rPr>
                <w:rFonts w:ascii="Calibri" w:hAnsi="Calibri" w:cs="Calibri"/>
                <w:sz w:val="18"/>
                <w:szCs w:val="18"/>
              </w:rPr>
              <w:t>14-23kg</w:t>
            </w:r>
          </w:p>
        </w:tc>
      </w:tr>
      <w:tr w:rsidR="004B7887" w:rsidRPr="00BA1B7B" w14:paraId="01A1EAE6" w14:textId="77777777" w:rsidTr="006F52A5">
        <w:tc>
          <w:tcPr>
            <w:tcW w:w="2551" w:type="dxa"/>
            <w:gridSpan w:val="2"/>
            <w:tcBorders>
              <w:top w:val="threeDEmboss" w:sz="6" w:space="0" w:color="auto"/>
              <w:left w:val="threeDEmboss" w:sz="6" w:space="0" w:color="auto"/>
              <w:bottom w:val="threeDEmboss" w:sz="6" w:space="0" w:color="auto"/>
              <w:right w:val="threeDEmboss" w:sz="6" w:space="0" w:color="auto"/>
            </w:tcBorders>
            <w:vAlign w:val="center"/>
          </w:tcPr>
          <w:p w14:paraId="33ED28BB" w14:textId="77777777" w:rsidR="004B7887" w:rsidRPr="00BA1B7B" w:rsidRDefault="004B7887" w:rsidP="006F52A5">
            <w:pPr>
              <w:spacing w:before="120" w:after="120" w:line="264" w:lineRule="auto"/>
              <w:ind w:left="127"/>
              <w:rPr>
                <w:rFonts w:ascii="Calibri" w:hAnsi="Calibri" w:cs="Calibri"/>
                <w:sz w:val="18"/>
                <w:szCs w:val="18"/>
              </w:rPr>
            </w:pPr>
            <w:r w:rsidRPr="00BA1B7B">
              <w:rPr>
                <w:rFonts w:ascii="Calibri" w:hAnsi="Calibri" w:cs="Calibri"/>
                <w:sz w:val="18"/>
                <w:szCs w:val="18"/>
              </w:rPr>
              <w:t>≥30.0</w:t>
            </w:r>
          </w:p>
        </w:tc>
        <w:tc>
          <w:tcPr>
            <w:tcW w:w="4961" w:type="dxa"/>
            <w:gridSpan w:val="2"/>
            <w:vMerge/>
            <w:tcBorders>
              <w:left w:val="threeDEmboss" w:sz="6" w:space="0" w:color="auto"/>
              <w:bottom w:val="threeDEmboss" w:sz="6" w:space="0" w:color="auto"/>
              <w:right w:val="threeDEmboss" w:sz="6" w:space="0" w:color="auto"/>
            </w:tcBorders>
          </w:tcPr>
          <w:p w14:paraId="2C405E7C" w14:textId="77777777" w:rsidR="004B7887" w:rsidRPr="00BA1B7B" w:rsidRDefault="004B7887" w:rsidP="006F52A5">
            <w:pPr>
              <w:spacing w:before="120" w:after="120" w:line="264" w:lineRule="auto"/>
              <w:rPr>
                <w:rFonts w:ascii="Calibri" w:hAnsi="Calibri" w:cs="Calibri"/>
                <w:sz w:val="18"/>
                <w:szCs w:val="18"/>
              </w:rPr>
            </w:pPr>
          </w:p>
        </w:tc>
        <w:tc>
          <w:tcPr>
            <w:tcW w:w="2552" w:type="dxa"/>
            <w:gridSpan w:val="2"/>
            <w:tcBorders>
              <w:top w:val="threeDEmboss" w:sz="6" w:space="0" w:color="auto"/>
              <w:left w:val="threeDEmboss" w:sz="6" w:space="0" w:color="auto"/>
              <w:bottom w:val="threeDEmboss" w:sz="6" w:space="0" w:color="auto"/>
              <w:right w:val="threeDEmboss" w:sz="6" w:space="0" w:color="auto"/>
            </w:tcBorders>
            <w:vAlign w:val="center"/>
          </w:tcPr>
          <w:p w14:paraId="3C7578A3" w14:textId="6203C5B5" w:rsidR="004B7887" w:rsidRPr="00BA1B7B" w:rsidRDefault="004B7887" w:rsidP="006F52A5">
            <w:pPr>
              <w:spacing w:before="120" w:after="120" w:line="264" w:lineRule="auto"/>
              <w:ind w:left="108"/>
              <w:jc w:val="center"/>
              <w:rPr>
                <w:rFonts w:ascii="Calibri" w:hAnsi="Calibri" w:cs="Calibri"/>
                <w:sz w:val="18"/>
                <w:szCs w:val="18"/>
              </w:rPr>
            </w:pPr>
            <w:r w:rsidRPr="00BA1B7B">
              <w:rPr>
                <w:rFonts w:ascii="Calibri" w:hAnsi="Calibri" w:cs="Calibri"/>
                <w:sz w:val="18"/>
                <w:szCs w:val="18"/>
              </w:rPr>
              <w:t>11-19kg</w:t>
            </w:r>
          </w:p>
        </w:tc>
      </w:tr>
    </w:tbl>
    <w:p w14:paraId="06882CFC" w14:textId="426CEB91" w:rsidR="00DC5066" w:rsidRPr="00BA1B7B" w:rsidRDefault="00DC5066" w:rsidP="00DC5066">
      <w:pPr>
        <w:spacing w:line="276" w:lineRule="auto"/>
        <w:rPr>
          <w:rFonts w:ascii="Arial" w:hAnsi="Arial" w:cs="Arial"/>
          <w:sz w:val="20"/>
          <w:szCs w:val="20"/>
        </w:rPr>
      </w:pPr>
    </w:p>
    <w:p w14:paraId="313283F5" w14:textId="77777777" w:rsidR="00DC5066" w:rsidRPr="00BA1B7B" w:rsidRDefault="00DC5066" w:rsidP="00DC5066">
      <w:pPr>
        <w:spacing w:line="276" w:lineRule="auto"/>
        <w:rPr>
          <w:rFonts w:ascii="Arial" w:hAnsi="Arial" w:cs="Arial"/>
          <w:i/>
          <w:iCs/>
          <w:sz w:val="20"/>
          <w:szCs w:val="20"/>
        </w:rPr>
      </w:pPr>
    </w:p>
    <w:p w14:paraId="79FD219F" w14:textId="07EF4A13" w:rsidR="00F9589E" w:rsidRPr="00BA1B7B" w:rsidRDefault="00F9589E" w:rsidP="004A22FD">
      <w:pPr>
        <w:pStyle w:val="ListParagraph"/>
        <w:numPr>
          <w:ilvl w:val="0"/>
          <w:numId w:val="11"/>
        </w:numPr>
        <w:spacing w:line="276" w:lineRule="auto"/>
        <w:rPr>
          <w:rFonts w:ascii="Arial" w:hAnsi="Arial" w:cs="Arial"/>
          <w:sz w:val="20"/>
          <w:szCs w:val="20"/>
        </w:rPr>
      </w:pPr>
      <w:r w:rsidRPr="00BA1B7B">
        <w:rPr>
          <w:rFonts w:ascii="Arial" w:hAnsi="Arial" w:cs="Arial"/>
          <w:sz w:val="20"/>
          <w:szCs w:val="20"/>
        </w:rPr>
        <w:t xml:space="preserve">Alcohol - For women who are pregnant or planning a pregnancy, no alcohol is the safest and recommended option.  </w:t>
      </w:r>
      <w:hyperlink r:id="rId42" w:history="1">
        <w:r w:rsidRPr="00BA1B7B">
          <w:rPr>
            <w:rFonts w:ascii="Arial" w:hAnsi="Arial" w:cs="Arial"/>
            <w:sz w:val="20"/>
            <w:szCs w:val="20"/>
            <w:u w:val="single"/>
          </w:rPr>
          <w:t>https://adf.org.au/insights/alcohol-and-pregnancy/</w:t>
        </w:r>
      </w:hyperlink>
    </w:p>
    <w:p w14:paraId="7EFFC5DF" w14:textId="77777777" w:rsidR="00F9589E" w:rsidRPr="00BA1B7B" w:rsidRDefault="00F9589E" w:rsidP="00F9589E">
      <w:pPr>
        <w:pStyle w:val="ListParagraph"/>
        <w:spacing w:line="276" w:lineRule="auto"/>
        <w:rPr>
          <w:rFonts w:ascii="Arial" w:hAnsi="Arial" w:cs="Arial"/>
          <w:sz w:val="20"/>
          <w:szCs w:val="20"/>
        </w:rPr>
      </w:pPr>
    </w:p>
    <w:p w14:paraId="3556F89E" w14:textId="77777777" w:rsidR="00F9589E" w:rsidRPr="00BA1B7B" w:rsidRDefault="00F9589E" w:rsidP="004A22FD">
      <w:pPr>
        <w:pStyle w:val="ListParagraph"/>
        <w:numPr>
          <w:ilvl w:val="0"/>
          <w:numId w:val="11"/>
        </w:numPr>
        <w:spacing w:line="276" w:lineRule="auto"/>
        <w:rPr>
          <w:rFonts w:ascii="Arial" w:hAnsi="Arial" w:cs="Arial"/>
          <w:sz w:val="20"/>
          <w:szCs w:val="20"/>
        </w:rPr>
      </w:pPr>
      <w:r w:rsidRPr="00BA1B7B">
        <w:rPr>
          <w:rFonts w:ascii="Arial" w:hAnsi="Arial" w:cs="Arial"/>
          <w:sz w:val="20"/>
          <w:szCs w:val="20"/>
        </w:rPr>
        <w:t xml:space="preserve">Drugs Consumption – whether recreational, pharmaceutical or over the counter (OTC) medication or supplements, most women will take some sort of drug in their pregnancy, often without realizing the potential for harm during pregnancy. A full drug and medication history is important in identifying those that may have the potential for harm and alternative solutions or medications discussed. </w:t>
      </w:r>
    </w:p>
    <w:p w14:paraId="648CA1EF" w14:textId="77777777" w:rsidR="00F9589E" w:rsidRPr="00BA1B7B" w:rsidRDefault="00F9589E" w:rsidP="00F9589E">
      <w:pPr>
        <w:spacing w:line="276" w:lineRule="auto"/>
        <w:rPr>
          <w:rFonts w:ascii="Arial" w:hAnsi="Arial" w:cs="Arial"/>
          <w:sz w:val="20"/>
          <w:szCs w:val="20"/>
        </w:rPr>
      </w:pPr>
    </w:p>
    <w:p w14:paraId="022D342E" w14:textId="77777777" w:rsidR="00F9589E" w:rsidRPr="00BA1B7B" w:rsidRDefault="00F9589E" w:rsidP="004A22FD">
      <w:pPr>
        <w:pStyle w:val="ListParagraph"/>
        <w:numPr>
          <w:ilvl w:val="0"/>
          <w:numId w:val="11"/>
        </w:numPr>
        <w:spacing w:line="276" w:lineRule="auto"/>
        <w:rPr>
          <w:rFonts w:ascii="Arial" w:hAnsi="Arial" w:cs="Arial"/>
          <w:sz w:val="20"/>
          <w:szCs w:val="20"/>
        </w:rPr>
      </w:pPr>
      <w:r w:rsidRPr="00BA1B7B">
        <w:rPr>
          <w:rFonts w:ascii="Arial" w:hAnsi="Arial" w:cs="Arial"/>
          <w:sz w:val="20"/>
          <w:szCs w:val="20"/>
        </w:rPr>
        <w:t>Additional resources are available to Health professionals and patients and provides information and telephone advice on medication, adverse reactions and interactions during pregnancy and breastfeeding</w:t>
      </w:r>
    </w:p>
    <w:p w14:paraId="1B3780D6" w14:textId="77777777" w:rsidR="00F9589E" w:rsidRPr="00BA1B7B" w:rsidRDefault="00F9589E" w:rsidP="00F9589E">
      <w:pPr>
        <w:pStyle w:val="ListParagraph"/>
        <w:spacing w:line="276" w:lineRule="auto"/>
        <w:rPr>
          <w:rFonts w:ascii="Arial" w:hAnsi="Arial" w:cs="Arial"/>
          <w:sz w:val="20"/>
          <w:szCs w:val="20"/>
        </w:rPr>
      </w:pPr>
    </w:p>
    <w:p w14:paraId="3B564718" w14:textId="77777777" w:rsidR="00F9589E" w:rsidRPr="00BA1B7B" w:rsidRDefault="00F9589E" w:rsidP="00F9589E">
      <w:pPr>
        <w:pStyle w:val="ListParagraph"/>
        <w:spacing w:line="276" w:lineRule="auto"/>
        <w:rPr>
          <w:rFonts w:ascii="Arial" w:hAnsi="Arial" w:cs="Arial"/>
          <w:sz w:val="20"/>
          <w:szCs w:val="20"/>
        </w:rPr>
      </w:pPr>
      <w:r w:rsidRPr="00BA1B7B">
        <w:rPr>
          <w:rFonts w:ascii="Arial" w:hAnsi="Arial" w:cs="Arial"/>
          <w:i/>
          <w:sz w:val="20"/>
          <w:szCs w:val="20"/>
        </w:rPr>
        <w:t>Medicines Information Centre</w:t>
      </w:r>
      <w:r w:rsidRPr="00BA1B7B">
        <w:rPr>
          <w:rFonts w:ascii="Arial" w:hAnsi="Arial" w:cs="Arial"/>
          <w:sz w:val="20"/>
          <w:szCs w:val="20"/>
        </w:rPr>
        <w:t xml:space="preserve">, at Monash Health,  </w:t>
      </w:r>
    </w:p>
    <w:p w14:paraId="77F23AC8" w14:textId="77777777" w:rsidR="00F9589E" w:rsidRPr="00BA1B7B" w:rsidRDefault="00F9589E" w:rsidP="00F9589E">
      <w:pPr>
        <w:pStyle w:val="ListParagraph"/>
        <w:spacing w:line="276" w:lineRule="auto"/>
        <w:rPr>
          <w:rFonts w:ascii="Arial" w:hAnsi="Arial" w:cs="Arial"/>
          <w:i/>
          <w:sz w:val="20"/>
          <w:szCs w:val="20"/>
        </w:rPr>
      </w:pPr>
      <w:r w:rsidRPr="00BA1B7B">
        <w:rPr>
          <w:rFonts w:ascii="Arial" w:hAnsi="Arial" w:cs="Arial"/>
          <w:i/>
          <w:sz w:val="20"/>
          <w:szCs w:val="20"/>
        </w:rPr>
        <w:t>Hours Monday to Friday 9am to 5pm, Phone: (03) 9594 2361 Fax: (03) 9594 6283</w:t>
      </w:r>
    </w:p>
    <w:p w14:paraId="22C60D69" w14:textId="77777777" w:rsidR="00F9589E" w:rsidRPr="00BA1B7B" w:rsidRDefault="00A97F97" w:rsidP="00F9589E">
      <w:pPr>
        <w:pStyle w:val="ListParagraph"/>
        <w:spacing w:line="276" w:lineRule="auto"/>
        <w:rPr>
          <w:rFonts w:ascii="Arial" w:hAnsi="Arial" w:cs="Arial"/>
          <w:sz w:val="20"/>
          <w:szCs w:val="20"/>
        </w:rPr>
      </w:pPr>
      <w:hyperlink r:id="rId43" w:history="1">
        <w:r w:rsidR="00F9589E" w:rsidRPr="00BA1B7B">
          <w:rPr>
            <w:rFonts w:ascii="Arial" w:hAnsi="Arial" w:cs="Arial"/>
            <w:sz w:val="20"/>
            <w:szCs w:val="20"/>
            <w:u w:val="single"/>
          </w:rPr>
          <w:t>https://monashhealth.org/health-professionals/medicines-information-centre/</w:t>
        </w:r>
      </w:hyperlink>
    </w:p>
    <w:p w14:paraId="22FD2746" w14:textId="77777777" w:rsidR="00F9589E" w:rsidRPr="00BA1B7B" w:rsidRDefault="00F9589E" w:rsidP="00F9589E">
      <w:pPr>
        <w:pStyle w:val="ListParagraph"/>
        <w:spacing w:line="276" w:lineRule="auto"/>
        <w:rPr>
          <w:rFonts w:ascii="Arial" w:hAnsi="Arial" w:cs="Arial"/>
          <w:sz w:val="20"/>
          <w:szCs w:val="20"/>
        </w:rPr>
      </w:pPr>
    </w:p>
    <w:p w14:paraId="64D86FC2" w14:textId="77777777" w:rsidR="00F9589E" w:rsidRPr="00BA1B7B" w:rsidRDefault="00F9589E" w:rsidP="00F9589E">
      <w:pPr>
        <w:pStyle w:val="ListParagraph"/>
        <w:spacing w:line="276" w:lineRule="auto"/>
        <w:rPr>
          <w:rFonts w:ascii="Arial" w:hAnsi="Arial" w:cs="Arial"/>
          <w:i/>
          <w:sz w:val="20"/>
          <w:szCs w:val="20"/>
        </w:rPr>
      </w:pPr>
      <w:r w:rsidRPr="00BA1B7B">
        <w:rPr>
          <w:rFonts w:ascii="Arial" w:hAnsi="Arial" w:cs="Arial"/>
          <w:i/>
          <w:sz w:val="20"/>
          <w:szCs w:val="20"/>
        </w:rPr>
        <w:t>Medicines Information at The Royal Women’s Hospital</w:t>
      </w:r>
    </w:p>
    <w:p w14:paraId="5E4462AE" w14:textId="77777777" w:rsidR="00F9589E" w:rsidRPr="00BA1B7B" w:rsidRDefault="00F9589E" w:rsidP="00F9589E">
      <w:pPr>
        <w:pStyle w:val="ListParagraph"/>
        <w:spacing w:line="276" w:lineRule="auto"/>
        <w:rPr>
          <w:rFonts w:ascii="Arial" w:hAnsi="Arial" w:cs="Arial"/>
          <w:sz w:val="20"/>
          <w:szCs w:val="20"/>
        </w:rPr>
      </w:pPr>
      <w:r w:rsidRPr="00BA1B7B">
        <w:rPr>
          <w:rFonts w:ascii="Arial" w:hAnsi="Arial" w:cs="Arial"/>
          <w:sz w:val="20"/>
          <w:szCs w:val="20"/>
        </w:rPr>
        <w:t xml:space="preserve">Phone: (03) 8345 3190 Fax: (03) 8345 3195 Email: </w:t>
      </w:r>
      <w:hyperlink r:id="rId44" w:history="1">
        <w:r w:rsidRPr="00BA1B7B">
          <w:rPr>
            <w:rStyle w:val="Hyperlink"/>
            <w:rFonts w:ascii="Arial" w:hAnsi="Arial" w:cs="Arial"/>
            <w:color w:val="auto"/>
            <w:sz w:val="20"/>
            <w:szCs w:val="20"/>
          </w:rPr>
          <w:t>drug.information@thewomens.org.au</w:t>
        </w:r>
      </w:hyperlink>
    </w:p>
    <w:p w14:paraId="008A9B0F" w14:textId="77777777" w:rsidR="00F9589E" w:rsidRPr="00BA1B7B" w:rsidRDefault="00A97F97" w:rsidP="00F9589E">
      <w:pPr>
        <w:pStyle w:val="ListParagraph"/>
        <w:spacing w:line="276" w:lineRule="auto"/>
        <w:rPr>
          <w:rFonts w:ascii="Arial" w:hAnsi="Arial" w:cs="Arial"/>
          <w:sz w:val="20"/>
          <w:szCs w:val="20"/>
        </w:rPr>
      </w:pPr>
      <w:hyperlink r:id="rId45" w:history="1">
        <w:r w:rsidR="00F9589E" w:rsidRPr="00BA1B7B">
          <w:rPr>
            <w:rFonts w:ascii="Arial" w:hAnsi="Arial" w:cs="Arial"/>
            <w:sz w:val="20"/>
            <w:szCs w:val="20"/>
            <w:u w:val="single"/>
          </w:rPr>
          <w:t>https://www.thewomens.org.au/patients-visitors/clinics-and-services/support-services/medicines-information</w:t>
        </w:r>
      </w:hyperlink>
    </w:p>
    <w:p w14:paraId="606B4CDD" w14:textId="77777777" w:rsidR="00F9589E" w:rsidRPr="00BA1B7B" w:rsidRDefault="00F9589E" w:rsidP="00F9589E">
      <w:pPr>
        <w:pStyle w:val="ListParagraph"/>
        <w:spacing w:line="276" w:lineRule="auto"/>
        <w:rPr>
          <w:rFonts w:ascii="Arial" w:hAnsi="Arial" w:cs="Arial"/>
          <w:sz w:val="20"/>
          <w:szCs w:val="20"/>
        </w:rPr>
      </w:pPr>
    </w:p>
    <w:p w14:paraId="0F709FE4" w14:textId="77777777" w:rsidR="00F9589E" w:rsidRPr="00BA1B7B" w:rsidRDefault="00F9589E" w:rsidP="00F9589E">
      <w:pPr>
        <w:pStyle w:val="ListParagraph"/>
        <w:spacing w:line="276" w:lineRule="auto"/>
        <w:rPr>
          <w:rFonts w:ascii="Arial" w:hAnsi="Arial" w:cs="Arial"/>
          <w:sz w:val="20"/>
          <w:szCs w:val="20"/>
        </w:rPr>
      </w:pPr>
    </w:p>
    <w:p w14:paraId="6EB2B874" w14:textId="77777777" w:rsidR="00F9589E" w:rsidRPr="00BA1B7B" w:rsidRDefault="00A97F97" w:rsidP="00F9589E">
      <w:pPr>
        <w:pStyle w:val="ListParagraph"/>
        <w:spacing w:line="276" w:lineRule="auto"/>
        <w:rPr>
          <w:rStyle w:val="Hyperlink"/>
          <w:rFonts w:ascii="Arial" w:hAnsi="Arial" w:cs="Arial"/>
          <w:color w:val="auto"/>
          <w:sz w:val="20"/>
          <w:szCs w:val="20"/>
        </w:rPr>
      </w:pPr>
      <w:hyperlink r:id="rId46" w:history="1">
        <w:r w:rsidR="00F9589E" w:rsidRPr="00BA1B7B">
          <w:rPr>
            <w:rStyle w:val="Hyperlink"/>
            <w:rFonts w:ascii="Arial" w:hAnsi="Arial" w:cs="Arial"/>
            <w:color w:val="auto"/>
            <w:sz w:val="20"/>
            <w:szCs w:val="20"/>
          </w:rPr>
          <w:t>https://www.betterhealth.vic.gov.au/health/healthyliving/pregnancy-medication-drugs-and-alcohol</w:t>
        </w:r>
      </w:hyperlink>
    </w:p>
    <w:p w14:paraId="595B370B" w14:textId="77777777" w:rsidR="00F9589E" w:rsidRPr="00BA1B7B" w:rsidRDefault="00F9589E" w:rsidP="00F9589E">
      <w:pPr>
        <w:pStyle w:val="ListParagraph"/>
        <w:spacing w:line="276" w:lineRule="auto"/>
        <w:rPr>
          <w:rFonts w:ascii="Arial" w:hAnsi="Arial" w:cs="Arial"/>
          <w:sz w:val="20"/>
          <w:szCs w:val="20"/>
        </w:rPr>
      </w:pPr>
    </w:p>
    <w:p w14:paraId="1B5B9969" w14:textId="77777777" w:rsidR="00F9589E" w:rsidRPr="00BA1B7B" w:rsidRDefault="00F9589E" w:rsidP="004A22FD">
      <w:pPr>
        <w:pStyle w:val="ListParagraph"/>
        <w:numPr>
          <w:ilvl w:val="0"/>
          <w:numId w:val="3"/>
        </w:numPr>
        <w:spacing w:line="276" w:lineRule="auto"/>
        <w:rPr>
          <w:rFonts w:ascii="Arial" w:hAnsi="Arial" w:cs="Arial"/>
          <w:sz w:val="20"/>
          <w:szCs w:val="20"/>
        </w:rPr>
      </w:pPr>
      <w:r w:rsidRPr="00BA1B7B">
        <w:rPr>
          <w:rFonts w:ascii="Arial" w:hAnsi="Arial" w:cs="Arial"/>
          <w:sz w:val="20"/>
          <w:szCs w:val="20"/>
        </w:rPr>
        <w:t>Vaccinations during pregnancy</w:t>
      </w:r>
    </w:p>
    <w:p w14:paraId="241900A7" w14:textId="77777777" w:rsidR="00F9589E" w:rsidRPr="00BA1B7B" w:rsidRDefault="00F9589E" w:rsidP="004A22FD">
      <w:pPr>
        <w:pStyle w:val="ListParagraph"/>
        <w:numPr>
          <w:ilvl w:val="0"/>
          <w:numId w:val="12"/>
        </w:numPr>
        <w:spacing w:line="276" w:lineRule="auto"/>
        <w:rPr>
          <w:rFonts w:ascii="Arial" w:hAnsi="Arial" w:cs="Arial"/>
          <w:sz w:val="20"/>
          <w:szCs w:val="20"/>
        </w:rPr>
      </w:pPr>
      <w:r w:rsidRPr="00BA1B7B">
        <w:rPr>
          <w:rFonts w:ascii="Arial" w:hAnsi="Arial" w:cs="Arial"/>
          <w:sz w:val="20"/>
          <w:szCs w:val="20"/>
        </w:rPr>
        <w:lastRenderedPageBreak/>
        <w:t>Covid -19; Pfizer vaccination is now recommended and should be routinely offered in pregnancy at any stage to reduce associated risks of disease. To ensure adequate protection pregnant women are recommended to complete the routine schedule of Pfizer, which is two doses, three weeks apart. The recommended interval between Covid -19 vaccine and any other vaccine is seven days.</w:t>
      </w:r>
      <w:r w:rsidRPr="00BA1B7B">
        <w:rPr>
          <w:rFonts w:ascii="Arial" w:eastAsia="Times New Roman" w:hAnsi="Arial" w:cs="Arial"/>
          <w:sz w:val="20"/>
          <w:szCs w:val="20"/>
        </w:rPr>
        <w:t xml:space="preserve"> </w:t>
      </w:r>
    </w:p>
    <w:p w14:paraId="2A86EFF6" w14:textId="444D9F30" w:rsidR="00F9589E" w:rsidRPr="00BA1B7B" w:rsidRDefault="00A97F97" w:rsidP="00973DB3">
      <w:pPr>
        <w:pStyle w:val="ListParagraph"/>
        <w:spacing w:line="276" w:lineRule="auto"/>
        <w:ind w:left="1440"/>
        <w:rPr>
          <w:rFonts w:ascii="Arial" w:eastAsia="Times New Roman" w:hAnsi="Arial" w:cs="Arial"/>
          <w:sz w:val="20"/>
          <w:szCs w:val="20"/>
        </w:rPr>
      </w:pPr>
      <w:hyperlink r:id="rId47" w:history="1">
        <w:r w:rsidR="00F9589E" w:rsidRPr="00BA1B7B">
          <w:rPr>
            <w:rStyle w:val="Hyperlink"/>
            <w:rFonts w:ascii="Arial" w:eastAsia="Times New Roman" w:hAnsi="Arial" w:cs="Arial"/>
            <w:color w:val="auto"/>
            <w:sz w:val="20"/>
            <w:szCs w:val="20"/>
          </w:rPr>
          <w:t>https://www.health.gov.au/initiatives-and-programs/covid-19-vaccines/getting-vaccinated-for-covid-19/when-will-i-get-a-covid-19-vaccine?fbclid=IwAR31durlNhPiS8NO9J6qMFqqrI0UK2_U5aP14gDa84Ch_d-00ndrxtUTp2U</w:t>
        </w:r>
      </w:hyperlink>
    </w:p>
    <w:p w14:paraId="15B076F4" w14:textId="77777777" w:rsidR="00F9589E" w:rsidRPr="00BA1B7B" w:rsidRDefault="00F9589E" w:rsidP="004A22FD">
      <w:pPr>
        <w:pStyle w:val="ListParagraph"/>
        <w:numPr>
          <w:ilvl w:val="0"/>
          <w:numId w:val="12"/>
        </w:numPr>
        <w:spacing w:line="276" w:lineRule="auto"/>
        <w:rPr>
          <w:rFonts w:ascii="Arial" w:hAnsi="Arial" w:cs="Arial"/>
          <w:sz w:val="20"/>
          <w:szCs w:val="20"/>
        </w:rPr>
      </w:pPr>
      <w:r w:rsidRPr="00BA1B7B">
        <w:rPr>
          <w:rFonts w:ascii="Arial" w:hAnsi="Arial" w:cs="Arial"/>
          <w:sz w:val="20"/>
          <w:szCs w:val="20"/>
        </w:rPr>
        <w:t xml:space="preserve">Influenza (flu) vaccination is recommended to all women annually. The vaccination is safe to be administered during any stage of pregnancy or whilst breastfeeding. </w:t>
      </w:r>
    </w:p>
    <w:p w14:paraId="2DD0262A" w14:textId="77777777" w:rsidR="00F9589E" w:rsidRPr="00BA1B7B" w:rsidRDefault="00A97F97" w:rsidP="00F9589E">
      <w:pPr>
        <w:pStyle w:val="ListParagraph"/>
        <w:spacing w:line="276" w:lineRule="auto"/>
        <w:ind w:left="1440"/>
        <w:rPr>
          <w:rFonts w:ascii="Arial" w:hAnsi="Arial" w:cs="Arial"/>
          <w:sz w:val="20"/>
          <w:szCs w:val="20"/>
        </w:rPr>
      </w:pPr>
      <w:hyperlink r:id="rId48" w:history="1">
        <w:r w:rsidR="00F9589E" w:rsidRPr="00BA1B7B">
          <w:rPr>
            <w:rFonts w:ascii="Arial" w:hAnsi="Arial" w:cs="Arial"/>
            <w:sz w:val="20"/>
            <w:szCs w:val="20"/>
            <w:u w:val="single"/>
          </w:rPr>
          <w:t>https://immunizationhandbook.health.gov.au/vaccination-for-special-risk-groups/vaccination-for-women-who-are-planning-pregnancy-pregnant-or</w:t>
        </w:r>
      </w:hyperlink>
    </w:p>
    <w:p w14:paraId="2554E397" w14:textId="77777777" w:rsidR="00F9589E" w:rsidRPr="00BA1B7B" w:rsidRDefault="00F9589E" w:rsidP="004A22FD">
      <w:pPr>
        <w:pStyle w:val="ListParagraph"/>
        <w:numPr>
          <w:ilvl w:val="0"/>
          <w:numId w:val="12"/>
        </w:numPr>
        <w:spacing w:line="276" w:lineRule="auto"/>
        <w:rPr>
          <w:rFonts w:ascii="Arial" w:hAnsi="Arial" w:cs="Arial"/>
          <w:sz w:val="20"/>
          <w:szCs w:val="20"/>
        </w:rPr>
      </w:pPr>
      <w:r w:rsidRPr="00BA1B7B">
        <w:rPr>
          <w:rFonts w:ascii="Arial" w:hAnsi="Arial" w:cs="Arial"/>
          <w:sz w:val="20"/>
          <w:szCs w:val="20"/>
        </w:rPr>
        <w:t xml:space="preserve">Pertussis DTPa - (whooping cough) is recommended between 20-32 weeks’ gestation to all women, in each pregnancy; Vaccination during pregnancy reduces the risk of pertussis in pregnant women and their young infants by 90%. If the recommended timeframe is missed, women are encouraged to vaccinate during the third trimester prior to birth.  </w:t>
      </w:r>
    </w:p>
    <w:p w14:paraId="44ABD286" w14:textId="77777777" w:rsidR="00F9589E" w:rsidRPr="00BA1B7B" w:rsidRDefault="00F9589E" w:rsidP="004A22FD">
      <w:pPr>
        <w:pStyle w:val="ListParagraph"/>
        <w:numPr>
          <w:ilvl w:val="0"/>
          <w:numId w:val="12"/>
        </w:numPr>
        <w:spacing w:line="276" w:lineRule="auto"/>
        <w:rPr>
          <w:rStyle w:val="Hyperlink"/>
          <w:rFonts w:ascii="Arial" w:hAnsi="Arial" w:cs="Arial"/>
          <w:color w:val="auto"/>
          <w:sz w:val="20"/>
          <w:szCs w:val="20"/>
        </w:rPr>
      </w:pPr>
      <w:r w:rsidRPr="00BA1B7B">
        <w:rPr>
          <w:rFonts w:ascii="Arial" w:hAnsi="Arial" w:cs="Arial"/>
          <w:sz w:val="20"/>
          <w:szCs w:val="20"/>
        </w:rPr>
        <w:t xml:space="preserve">Partners or close contacts to the newborn are also encouraged to receive the DTPa vaccine at least 2 weeks prior to beginning close contact with the baby; especially if it has been greater than 10 years since their last vaccination. </w:t>
      </w:r>
      <w:hyperlink r:id="rId49" w:history="1">
        <w:r w:rsidRPr="00BA1B7B">
          <w:rPr>
            <w:rStyle w:val="Hyperlink"/>
            <w:rFonts w:ascii="Arial" w:hAnsi="Arial" w:cs="Arial"/>
            <w:color w:val="auto"/>
            <w:sz w:val="20"/>
            <w:szCs w:val="20"/>
          </w:rPr>
          <w:t>https://immunizationhandbook.health.gov.au/vaccination-for-special-risk-groups/vaccination-for-women-who-are-planning-pregnancy-pregnant-or</w:t>
        </w:r>
      </w:hyperlink>
    </w:p>
    <w:p w14:paraId="4DA7A91E" w14:textId="687520AA" w:rsidR="00823C57" w:rsidRPr="00BA1B7B" w:rsidRDefault="00F9589E" w:rsidP="004B7887">
      <w:pPr>
        <w:spacing w:line="276" w:lineRule="auto"/>
        <w:jc w:val="center"/>
        <w:rPr>
          <w:rFonts w:ascii="Arial" w:hAnsi="Arial" w:cs="Arial"/>
          <w:i/>
          <w:sz w:val="20"/>
          <w:szCs w:val="20"/>
          <w:u w:val="single"/>
        </w:rPr>
      </w:pPr>
      <w:r w:rsidRPr="00BA1B7B">
        <w:rPr>
          <w:rFonts w:ascii="Arial" w:hAnsi="Arial" w:cs="Arial"/>
          <w:b/>
          <w:i/>
          <w:sz w:val="20"/>
          <w:szCs w:val="20"/>
        </w:rPr>
        <w:t>Note:</w:t>
      </w:r>
      <w:r w:rsidRPr="00BA1B7B">
        <w:rPr>
          <w:rFonts w:ascii="Arial" w:hAnsi="Arial" w:cs="Arial"/>
          <w:i/>
          <w:sz w:val="20"/>
          <w:szCs w:val="20"/>
        </w:rPr>
        <w:t xml:space="preserve"> there are many vaccines contraindicated in pregnancy as per the Australian Immunization Handbook: </w:t>
      </w:r>
      <w:hyperlink r:id="rId50" w:history="1">
        <w:r w:rsidRPr="00BA1B7B">
          <w:rPr>
            <w:rFonts w:ascii="Arial" w:hAnsi="Arial" w:cs="Arial"/>
            <w:i/>
            <w:sz w:val="20"/>
            <w:szCs w:val="20"/>
            <w:u w:val="single"/>
          </w:rPr>
          <w:t>https://immunizationhandbook.health.gov.au/resources/handbook-tables/table-vaccines-that-are-contraindicated-in-pregnancy-live-attenuated</w:t>
        </w:r>
      </w:hyperlink>
    </w:p>
    <w:p w14:paraId="340FAFBA" w14:textId="77777777" w:rsidR="001242AB" w:rsidRPr="00BA1B7B" w:rsidRDefault="001242AB" w:rsidP="004E7BEF">
      <w:pPr>
        <w:pStyle w:val="SubheadingLevel2EASH"/>
        <w:spacing w:line="276" w:lineRule="auto"/>
        <w:ind w:left="0" w:right="95"/>
        <w:rPr>
          <w:color w:val="auto"/>
        </w:rPr>
      </w:pPr>
    </w:p>
    <w:p w14:paraId="58D54584" w14:textId="5094C341" w:rsidR="00F9589E" w:rsidRPr="00BA1B7B" w:rsidRDefault="00F9589E"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30" w:name="_Toc120614288"/>
      <w:r w:rsidRPr="00BA1B7B">
        <w:rPr>
          <w:rFonts w:ascii="Arial" w:eastAsia="Times New Roman" w:hAnsi="Arial" w:cs="Arial"/>
          <w:b/>
          <w:bCs/>
          <w:sz w:val="20"/>
          <w:szCs w:val="20"/>
          <w:lang w:eastAsia="en-AU"/>
        </w:rPr>
        <w:t>4.2 Models of Care</w:t>
      </w:r>
      <w:bookmarkEnd w:id="30"/>
      <w:r w:rsidRPr="00BA1B7B">
        <w:rPr>
          <w:rFonts w:ascii="Arial" w:eastAsia="Times New Roman" w:hAnsi="Arial" w:cs="Arial"/>
          <w:b/>
          <w:bCs/>
          <w:sz w:val="20"/>
          <w:szCs w:val="20"/>
          <w:lang w:eastAsia="en-AU"/>
        </w:rPr>
        <w:t xml:space="preserve"> </w:t>
      </w:r>
    </w:p>
    <w:p w14:paraId="59459387" w14:textId="77777777" w:rsidR="000E081C" w:rsidRPr="00BA1B7B" w:rsidRDefault="00F9589E" w:rsidP="00F9589E">
      <w:pPr>
        <w:pStyle w:val="NoSpacing"/>
        <w:spacing w:line="276" w:lineRule="auto"/>
        <w:rPr>
          <w:rFonts w:ascii="Arial" w:hAnsi="Arial" w:cs="Arial"/>
          <w:sz w:val="20"/>
          <w:szCs w:val="20"/>
        </w:rPr>
      </w:pPr>
      <w:r w:rsidRPr="00BA1B7B">
        <w:rPr>
          <w:rFonts w:ascii="Arial" w:hAnsi="Arial" w:cs="Arial"/>
          <w:sz w:val="20"/>
          <w:szCs w:val="20"/>
          <w:lang w:val="en-GB" w:eastAsia="en-AU"/>
        </w:rPr>
        <w:t xml:space="preserve">Eastern Health provides maternity services as per the </w:t>
      </w:r>
      <w:r w:rsidRPr="00BA1B7B">
        <w:rPr>
          <w:rFonts w:ascii="Arial" w:hAnsi="Arial" w:cs="Arial"/>
          <w:bCs/>
          <w:sz w:val="20"/>
          <w:szCs w:val="20"/>
        </w:rPr>
        <w:t>Capability Frameworks for Victorian maternity and newborn services stipulated by the Department of Health and Human Services;</w:t>
      </w:r>
      <w:r w:rsidRPr="00BA1B7B">
        <w:rPr>
          <w:rStyle w:val="UnresolvedMention1"/>
          <w:rFonts w:ascii="Arial" w:hAnsi="Arial" w:cs="Arial"/>
          <w:color w:val="auto"/>
          <w:sz w:val="20"/>
          <w:szCs w:val="20"/>
        </w:rPr>
        <w:t xml:space="preserve"> </w:t>
      </w:r>
      <w:hyperlink r:id="rId51" w:history="1">
        <w:r w:rsidRPr="00BA1B7B">
          <w:rPr>
            <w:rStyle w:val="Hyperlink"/>
            <w:rFonts w:ascii="Arial" w:hAnsi="Arial" w:cs="Arial"/>
            <w:color w:val="auto"/>
            <w:sz w:val="20"/>
            <w:szCs w:val="20"/>
          </w:rPr>
          <w:t>https://www2.health.vic.gov.au/hospitals-and-health-services/patient-care/perinatal-reproductive/maternity-newborn-services/maternity-newborn-care</w:t>
        </w:r>
      </w:hyperlink>
    </w:p>
    <w:p w14:paraId="05463141" w14:textId="77777777" w:rsidR="000E081C" w:rsidRPr="00BA1B7B" w:rsidRDefault="000E081C" w:rsidP="00F9589E">
      <w:pPr>
        <w:pStyle w:val="NoSpacing"/>
        <w:spacing w:line="276" w:lineRule="auto"/>
        <w:rPr>
          <w:rFonts w:ascii="Arial" w:hAnsi="Arial" w:cs="Arial"/>
          <w:sz w:val="20"/>
          <w:szCs w:val="20"/>
        </w:rPr>
      </w:pPr>
    </w:p>
    <w:p w14:paraId="7CC0025F" w14:textId="5D399641" w:rsidR="00F9589E" w:rsidRPr="00BA1B7B" w:rsidRDefault="00F9589E" w:rsidP="00F9589E">
      <w:pPr>
        <w:pStyle w:val="NoSpacing"/>
        <w:spacing w:line="276" w:lineRule="auto"/>
        <w:rPr>
          <w:rFonts w:ascii="Arial" w:hAnsi="Arial" w:cs="Arial"/>
          <w:sz w:val="20"/>
          <w:szCs w:val="20"/>
        </w:rPr>
      </w:pPr>
      <w:r w:rsidRPr="00BA1B7B">
        <w:rPr>
          <w:rFonts w:ascii="Arial" w:hAnsi="Arial" w:cs="Arial"/>
          <w:bCs/>
          <w:sz w:val="20"/>
          <w:szCs w:val="20"/>
        </w:rPr>
        <w:t xml:space="preserve"> Eastern Health </w:t>
      </w:r>
      <w:r w:rsidRPr="00BA1B7B">
        <w:rPr>
          <w:rFonts w:ascii="Arial" w:hAnsi="Arial" w:cs="Arial"/>
          <w:sz w:val="20"/>
          <w:szCs w:val="20"/>
          <w:lang w:val="en-GB" w:eastAsia="en-AU"/>
        </w:rPr>
        <w:t>offers a variety of pregnancy care options at each of the Eastern Health hospitals. Our team of doctors and midwives provide a high level of care and expertise to support women throughout pregnancy, birth and post-partum.</w:t>
      </w:r>
    </w:p>
    <w:p w14:paraId="6D27EEFE" w14:textId="77777777" w:rsidR="00F9589E" w:rsidRPr="00BA1B7B" w:rsidRDefault="00F9589E" w:rsidP="00F9589E">
      <w:pPr>
        <w:pStyle w:val="NoSpacing"/>
        <w:spacing w:line="276" w:lineRule="auto"/>
        <w:rPr>
          <w:rFonts w:ascii="Arial" w:hAnsi="Arial" w:cs="Arial"/>
          <w:sz w:val="20"/>
          <w:szCs w:val="20"/>
          <w:lang w:val="en-GB" w:eastAsia="en-AU"/>
        </w:rPr>
      </w:pPr>
      <w:r w:rsidRPr="00BA1B7B">
        <w:rPr>
          <w:rFonts w:ascii="Arial" w:hAnsi="Arial" w:cs="Arial"/>
          <w:sz w:val="20"/>
          <w:szCs w:val="20"/>
          <w:lang w:val="en-GB" w:eastAsia="en-AU"/>
        </w:rPr>
        <w:t>Care options vary and are dependent on general health, individual needs and risk assessment. Following risk assessment at initial booking appointment with a midwife, women will be allocated to either a “Green Pathway” (low risk) or “Red Pathway” (high risk). Pathways can be interchangeable throughout the pregnancy and birthing continuum.</w:t>
      </w:r>
    </w:p>
    <w:p w14:paraId="30088979"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Eastern Health has four options for Maternity Care</w:t>
      </w:r>
    </w:p>
    <w:p w14:paraId="528EC2E5" w14:textId="77777777" w:rsidR="00823C57" w:rsidRPr="00BA1B7B" w:rsidRDefault="00823C57" w:rsidP="00823C57">
      <w:pPr>
        <w:spacing w:line="276" w:lineRule="auto"/>
        <w:rPr>
          <w:rFonts w:ascii="Arial" w:hAnsi="Arial" w:cs="Arial"/>
          <w:b/>
          <w:bCs/>
          <w:sz w:val="20"/>
          <w:szCs w:val="20"/>
        </w:rPr>
      </w:pPr>
    </w:p>
    <w:p w14:paraId="49D7A029"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a) Midwife Continuity of Care (Green Pathway)</w:t>
      </w:r>
    </w:p>
    <w:p w14:paraId="70281DFB"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i/>
          <w:iCs/>
          <w:sz w:val="20"/>
          <w:szCs w:val="20"/>
        </w:rPr>
        <w:t>Midwife Continuity of Care</w:t>
      </w:r>
      <w:r w:rsidRPr="00BA1B7B">
        <w:rPr>
          <w:rFonts w:ascii="Arial" w:hAnsi="Arial" w:cs="Arial"/>
          <w:sz w:val="20"/>
          <w:szCs w:val="20"/>
        </w:rPr>
        <w:t xml:space="preserve"> – </w:t>
      </w:r>
      <w:bookmarkStart w:id="31" w:name="_Hlk50107890"/>
      <w:r w:rsidRPr="00BA1B7B">
        <w:rPr>
          <w:rFonts w:ascii="Arial" w:hAnsi="Arial" w:cs="Arial"/>
          <w:sz w:val="20"/>
          <w:szCs w:val="20"/>
        </w:rPr>
        <w:t xml:space="preserve">Aimed at the majority of women who have no past history of major health or obstetric complications and who remain well throughout their pregnancy. Women will see midwives predominantly for their antenatal care; but will be referred to obstetric doctors if concerns or abnormalities are identified. </w:t>
      </w:r>
    </w:p>
    <w:p w14:paraId="4E132543"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When admitted to hospital for labour and birth, women will be cared for collaboratively by midwives and hospital obstetric doctors.</w:t>
      </w:r>
    </w:p>
    <w:bookmarkEnd w:id="31"/>
    <w:p w14:paraId="4F895793"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fldChar w:fldCharType="begin"/>
      </w:r>
      <w:r w:rsidRPr="00BA1B7B">
        <w:rPr>
          <w:rFonts w:ascii="Arial" w:hAnsi="Arial" w:cs="Arial"/>
          <w:sz w:val="20"/>
          <w:szCs w:val="20"/>
        </w:rPr>
        <w:instrText xml:space="preserve"> HYPERLINK "https://www.easternhealth.org.au/images/services/midwife_care.pdf" </w:instrText>
      </w:r>
      <w:r w:rsidRPr="00BA1B7B">
        <w:rPr>
          <w:rFonts w:ascii="Arial" w:hAnsi="Arial" w:cs="Arial"/>
          <w:sz w:val="20"/>
          <w:szCs w:val="20"/>
        </w:rPr>
        <w:fldChar w:fldCharType="separate"/>
      </w:r>
      <w:r w:rsidRPr="00BA1B7B">
        <w:rPr>
          <w:rFonts w:ascii="Arial" w:hAnsi="Arial" w:cs="Arial"/>
          <w:sz w:val="20"/>
          <w:szCs w:val="20"/>
          <w:u w:val="single"/>
        </w:rPr>
        <w:t>https://www.easternhealth.org.au/images/services/midwife_care.pdf</w:t>
      </w:r>
      <w:r w:rsidRPr="00BA1B7B">
        <w:rPr>
          <w:rFonts w:ascii="Arial" w:hAnsi="Arial" w:cs="Arial"/>
          <w:sz w:val="20"/>
          <w:szCs w:val="20"/>
          <w:u w:val="single"/>
        </w:rPr>
        <w:fldChar w:fldCharType="end"/>
      </w:r>
    </w:p>
    <w:p w14:paraId="62F1933E"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i/>
          <w:iCs/>
          <w:sz w:val="20"/>
          <w:szCs w:val="20"/>
        </w:rPr>
        <w:t>Midwifery Group Practice</w:t>
      </w:r>
      <w:r w:rsidRPr="00BA1B7B">
        <w:rPr>
          <w:rFonts w:ascii="Arial" w:hAnsi="Arial" w:cs="Arial"/>
          <w:sz w:val="20"/>
          <w:szCs w:val="20"/>
        </w:rPr>
        <w:t xml:space="preserve"> - MGP is a model of maternity care where women receive one to one care with a midwife for their pregnancy, labour, birth and post-natal care. The primary midwife is on call for labour care for the women in her caseload. Women in this model are expected to have a shorter stay in hospital post birth. This option is only available to low risk </w:t>
      </w:r>
    </w:p>
    <w:p w14:paraId="68AAA07D" w14:textId="77777777" w:rsidR="00823C57" w:rsidRPr="00BA1B7B" w:rsidRDefault="00823C57" w:rsidP="00823C57">
      <w:pPr>
        <w:spacing w:line="276" w:lineRule="auto"/>
        <w:ind w:left="720"/>
        <w:rPr>
          <w:rFonts w:ascii="Arial" w:hAnsi="Arial" w:cs="Arial"/>
          <w:sz w:val="20"/>
          <w:szCs w:val="20"/>
        </w:rPr>
      </w:pPr>
    </w:p>
    <w:p w14:paraId="74DBDBFC"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 xml:space="preserve">healthy women; or women hoping for a vaginal birth after caesarean (VBAC) that are otherwise low risk.  </w:t>
      </w:r>
    </w:p>
    <w:p w14:paraId="31934710" w14:textId="77777777" w:rsidR="00823C57" w:rsidRPr="00BA1B7B" w:rsidRDefault="00A97F97" w:rsidP="00823C57">
      <w:pPr>
        <w:spacing w:line="276" w:lineRule="auto"/>
        <w:jc w:val="center"/>
        <w:rPr>
          <w:rFonts w:ascii="Arial" w:hAnsi="Arial" w:cs="Arial"/>
          <w:sz w:val="20"/>
          <w:szCs w:val="20"/>
          <w:u w:val="single"/>
        </w:rPr>
      </w:pPr>
      <w:hyperlink r:id="rId52" w:history="1">
        <w:r w:rsidR="00823C57" w:rsidRPr="00BA1B7B">
          <w:rPr>
            <w:rStyle w:val="Hyperlink"/>
            <w:rFonts w:ascii="Arial" w:hAnsi="Arial" w:cs="Arial"/>
            <w:color w:val="auto"/>
            <w:sz w:val="20"/>
            <w:szCs w:val="20"/>
          </w:rPr>
          <w:t>https://www.easternhealth.org.au/images/services/midwifery_group_practice.pdf</w:t>
        </w:r>
      </w:hyperlink>
    </w:p>
    <w:p w14:paraId="7A19F5AB" w14:textId="77777777" w:rsidR="00823C57" w:rsidRPr="00BA1B7B" w:rsidRDefault="00823C57" w:rsidP="00823C57">
      <w:pPr>
        <w:spacing w:line="276" w:lineRule="auto"/>
        <w:jc w:val="center"/>
        <w:rPr>
          <w:rFonts w:ascii="Arial" w:hAnsi="Arial" w:cs="Arial"/>
          <w:sz w:val="20"/>
          <w:szCs w:val="20"/>
        </w:rPr>
      </w:pPr>
    </w:p>
    <w:p w14:paraId="50F29E8D" w14:textId="77777777" w:rsidR="00823C57" w:rsidRPr="00BA1B7B" w:rsidRDefault="00823C57" w:rsidP="00823C57">
      <w:pPr>
        <w:tabs>
          <w:tab w:val="left" w:pos="4360"/>
        </w:tabs>
        <w:spacing w:line="276" w:lineRule="auto"/>
        <w:rPr>
          <w:rFonts w:ascii="Arial" w:hAnsi="Arial" w:cs="Arial"/>
          <w:b/>
          <w:bCs/>
          <w:sz w:val="20"/>
          <w:szCs w:val="20"/>
        </w:rPr>
      </w:pPr>
      <w:r w:rsidRPr="00BA1B7B">
        <w:rPr>
          <w:rFonts w:ascii="Arial" w:hAnsi="Arial" w:cs="Arial"/>
          <w:b/>
          <w:bCs/>
          <w:sz w:val="20"/>
          <w:szCs w:val="20"/>
        </w:rPr>
        <w:t>b)   Shared Maternity Care with your GP (Green Pathway)</w:t>
      </w:r>
    </w:p>
    <w:p w14:paraId="06B963C3"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 xml:space="preserve">GP shared care is aimed at women who wish to have the majority of their antenatal care provided by an Eastern Health accredited general practitioner.  Care is collaboratively provided between Eastern Health and the woman’s chosen GP. The majority of antenatal appointments are with their GP with a minimum of 3 hospital visits with a midwife. Hospital visits provide women the opportunity to discuss their hospital stay, breastfeeding, any hospital specific questions they may have and to plan for discharge home. </w:t>
      </w:r>
      <w:bookmarkStart w:id="32" w:name="_Hlk45642301"/>
    </w:p>
    <w:p w14:paraId="1134EFD5"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When admitted to hospital for labour and birth, women will be cared for collaboratively by the midwives and hospital obstetric doctors.</w:t>
      </w:r>
      <w:bookmarkEnd w:id="32"/>
    </w:p>
    <w:p w14:paraId="36E17680" w14:textId="77777777" w:rsidR="00823C57" w:rsidRPr="00BA1B7B" w:rsidRDefault="00A97F97" w:rsidP="00823C57">
      <w:pPr>
        <w:spacing w:line="276" w:lineRule="auto"/>
        <w:ind w:left="720"/>
        <w:rPr>
          <w:rStyle w:val="Hyperlink"/>
          <w:rFonts w:ascii="Arial" w:hAnsi="Arial" w:cs="Arial"/>
          <w:color w:val="auto"/>
          <w:sz w:val="20"/>
          <w:szCs w:val="20"/>
        </w:rPr>
      </w:pPr>
      <w:hyperlink r:id="rId53" w:anchor="what-about-my-care-after-the-birth" w:history="1">
        <w:r w:rsidR="00823C57" w:rsidRPr="00BA1B7B">
          <w:rPr>
            <w:rStyle w:val="Hyperlink"/>
            <w:rFonts w:ascii="Arial" w:hAnsi="Arial" w:cs="Arial"/>
            <w:color w:val="auto"/>
            <w:sz w:val="20"/>
            <w:szCs w:val="20"/>
          </w:rPr>
          <w:t>https://www.easternhealth.org.au/services/maternity-services/i-am-pregnant/first-14-weeks/pregnancy-care-options/shared-maternity-care-with-your-gp/item/139#what-about-my-care-after-the-birth</w:t>
        </w:r>
      </w:hyperlink>
    </w:p>
    <w:p w14:paraId="028BE837" w14:textId="77777777" w:rsidR="00823C57" w:rsidRPr="00BA1B7B" w:rsidRDefault="00823C57" w:rsidP="00823C57">
      <w:pPr>
        <w:spacing w:line="276" w:lineRule="auto"/>
        <w:ind w:left="720"/>
        <w:rPr>
          <w:rFonts w:ascii="Arial" w:hAnsi="Arial" w:cs="Arial"/>
          <w:sz w:val="20"/>
          <w:szCs w:val="20"/>
        </w:rPr>
      </w:pPr>
    </w:p>
    <w:p w14:paraId="4C58460B"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c)    Obstetric Care (Red Pathway)</w:t>
      </w:r>
    </w:p>
    <w:p w14:paraId="7183F973"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Aimed at women who have a history of health or obstetric complications and require specialist       obstetric care and management. Women will see obstetric doctors predominantly for their antenatal care; but will be referred to midwives where possible and on request from women.</w:t>
      </w:r>
    </w:p>
    <w:p w14:paraId="6F059F5E"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For women, whose pregnancies have increased complexity or high-risk additional services will be discussed and referred to as appropriate, such as Maternal Fetal Medicine and Obstetric Medicine.</w:t>
      </w:r>
    </w:p>
    <w:p w14:paraId="45BFDD3F"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When admitted to hospital for labour and birth, women will be cared for collaboratively by midwives and hospital obstetric doctors.</w:t>
      </w:r>
    </w:p>
    <w:p w14:paraId="6C979CB7" w14:textId="77777777" w:rsidR="00823C57" w:rsidRPr="00BA1B7B" w:rsidRDefault="00823C57" w:rsidP="00823C57">
      <w:pPr>
        <w:spacing w:line="276" w:lineRule="auto"/>
        <w:rPr>
          <w:rFonts w:ascii="Arial" w:hAnsi="Arial" w:cs="Arial"/>
          <w:b/>
          <w:bCs/>
          <w:sz w:val="20"/>
          <w:szCs w:val="20"/>
        </w:rPr>
      </w:pPr>
    </w:p>
    <w:p w14:paraId="0F6408BA"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d)   Private Obstetrician Pregnancy &amp; Labour Care – Available at Angliss and Box Hill Hospital</w:t>
      </w:r>
    </w:p>
    <w:p w14:paraId="0BAF7EF2" w14:textId="77777777" w:rsidR="00823C57" w:rsidRPr="00BA1B7B" w:rsidRDefault="00823C57" w:rsidP="00823C57">
      <w:pPr>
        <w:spacing w:line="276" w:lineRule="auto"/>
        <w:ind w:left="720"/>
        <w:rPr>
          <w:rFonts w:ascii="Arial" w:hAnsi="Arial" w:cs="Arial"/>
          <w:sz w:val="20"/>
          <w:szCs w:val="20"/>
        </w:rPr>
      </w:pPr>
      <w:bookmarkStart w:id="33" w:name="_Hlk46140945"/>
      <w:r w:rsidRPr="00BA1B7B">
        <w:rPr>
          <w:rFonts w:ascii="Arial" w:hAnsi="Arial" w:cs="Arial"/>
          <w:sz w:val="20"/>
          <w:szCs w:val="20"/>
        </w:rPr>
        <w:t xml:space="preserve">This model of care is only available for women booking into Box Hill Hospital. With private obstetric consultant care, women are able to choose a specific obstetrician from a dedicated list of doctors, who will provide their antenatal care and be present for birth and Post-natal review. When admitted to hospital for labour and birth, women will be cared for collaboratively </w:t>
      </w:r>
      <w:r w:rsidRPr="00BA1B7B">
        <w:rPr>
          <w:rFonts w:ascii="Arial" w:hAnsi="Arial" w:cs="Arial"/>
          <w:sz w:val="20"/>
          <w:szCs w:val="20"/>
        </w:rPr>
        <w:lastRenderedPageBreak/>
        <w:t xml:space="preserve">by the hospital midwives and their chosen private obstetrician. Women opting for this model will be admitted to box hill hospital as a booked private patient and are responsible for their obstetrician’s fees, and any additional hospital costs. </w:t>
      </w:r>
    </w:p>
    <w:p w14:paraId="66A5C64E"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For further information please contact relevant antenatal midwifery unit manager from section 1.2.</w:t>
      </w:r>
    </w:p>
    <w:p w14:paraId="00B5879D" w14:textId="77777777" w:rsidR="00823C57" w:rsidRPr="00BA1B7B" w:rsidRDefault="00823C57" w:rsidP="00823C57">
      <w:pPr>
        <w:spacing w:line="276" w:lineRule="auto"/>
        <w:ind w:left="720"/>
        <w:rPr>
          <w:rFonts w:ascii="Arial" w:hAnsi="Arial" w:cs="Arial"/>
          <w:sz w:val="20"/>
          <w:szCs w:val="20"/>
        </w:rPr>
      </w:pPr>
    </w:p>
    <w:bookmarkEnd w:id="33"/>
    <w:p w14:paraId="4F204D61"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e). Private Obstetrician Antenatal Pregnancy Care – Only Available at Angliss Hospital</w:t>
      </w:r>
    </w:p>
    <w:p w14:paraId="254556B0"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 xml:space="preserve">This model of care is only available for women booking into Angliss Hospital. With private obstetric antenatal care, women can choose a specific obstetrician from a dedicated list of doctors, who will provide their antenatal care only. (On call - Labour and Birth care is not provided by these obstetricians in this model). Women will be responsible for their chosen obstetrician’s antenatal care fees and some costs. </w:t>
      </w:r>
    </w:p>
    <w:p w14:paraId="701B51B6"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 xml:space="preserve">When admitted to hospital for labour and birth, women will be cared for collaboratively by the hospital midwives and the designated hospital obstetric doctors. Women opting for this model will be admitted to Angliss hospital as a public patient in a public hospital and the fees from that point are as standard. </w:t>
      </w:r>
    </w:p>
    <w:p w14:paraId="631AA0A9" w14:textId="77777777" w:rsidR="00823C57" w:rsidRPr="00BA1B7B" w:rsidRDefault="00823C57" w:rsidP="00823C57">
      <w:pPr>
        <w:spacing w:line="276" w:lineRule="auto"/>
        <w:ind w:left="720"/>
        <w:rPr>
          <w:rFonts w:ascii="Arial" w:hAnsi="Arial" w:cs="Arial"/>
          <w:sz w:val="20"/>
          <w:szCs w:val="20"/>
        </w:rPr>
      </w:pPr>
    </w:p>
    <w:p w14:paraId="0F9262D1" w14:textId="77777777" w:rsidR="00823C57" w:rsidRPr="00BA1B7B" w:rsidRDefault="00823C57" w:rsidP="00823C57">
      <w:pPr>
        <w:spacing w:line="276" w:lineRule="auto"/>
        <w:ind w:left="720"/>
        <w:rPr>
          <w:rFonts w:ascii="Arial" w:hAnsi="Arial" w:cs="Arial"/>
          <w:sz w:val="20"/>
          <w:szCs w:val="20"/>
        </w:rPr>
      </w:pPr>
      <w:r w:rsidRPr="00BA1B7B">
        <w:rPr>
          <w:rFonts w:ascii="Arial" w:hAnsi="Arial" w:cs="Arial"/>
          <w:sz w:val="20"/>
          <w:szCs w:val="20"/>
        </w:rPr>
        <w:t>For further information please contact relevant antenatal midwifery unit manager from section 1.2.</w:t>
      </w:r>
    </w:p>
    <w:p w14:paraId="1EADD83F" w14:textId="70DC44D4" w:rsidR="00F9589E" w:rsidRPr="00BA1B7B" w:rsidRDefault="00F9589E" w:rsidP="00823C57">
      <w:pPr>
        <w:pStyle w:val="SubheadingLevel2EASH"/>
        <w:spacing w:line="276" w:lineRule="auto"/>
        <w:ind w:left="0" w:right="95"/>
        <w:jc w:val="center"/>
        <w:rPr>
          <w:color w:val="auto"/>
        </w:rPr>
      </w:pPr>
    </w:p>
    <w:p w14:paraId="0E4DAAE7" w14:textId="5F6FAB96" w:rsidR="00823C57" w:rsidRPr="00BA1B7B" w:rsidRDefault="00823C57"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34" w:name="_Toc120614289"/>
      <w:r w:rsidRPr="00BA1B7B">
        <w:rPr>
          <w:rFonts w:ascii="Arial" w:eastAsia="Times New Roman" w:hAnsi="Arial" w:cs="Arial"/>
          <w:b/>
          <w:bCs/>
          <w:sz w:val="20"/>
          <w:szCs w:val="20"/>
          <w:lang w:eastAsia="en-AU"/>
        </w:rPr>
        <w:t>4.3 Location of Care:</w:t>
      </w:r>
      <w:bookmarkEnd w:id="34"/>
    </w:p>
    <w:p w14:paraId="54A2145E"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Eastern Health provides antenatal maternity care at the Angliss Hospital (Ferntree Gully), Box Hill Hospital and Yarra Ranges Health (Lilydale), and Birthing services at Angliss Hospital and Box Hill Hospital. </w:t>
      </w:r>
    </w:p>
    <w:p w14:paraId="68F439AE" w14:textId="77777777" w:rsidR="00823C57" w:rsidRPr="00BA1B7B" w:rsidRDefault="00823C57" w:rsidP="00823C57">
      <w:pPr>
        <w:spacing w:line="276" w:lineRule="auto"/>
        <w:rPr>
          <w:rFonts w:ascii="Arial" w:hAnsi="Arial" w:cs="Arial"/>
          <w:sz w:val="20"/>
          <w:szCs w:val="20"/>
        </w:rPr>
      </w:pPr>
    </w:p>
    <w:p w14:paraId="7C55B8C0"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i/>
          <w:iCs/>
          <w:sz w:val="20"/>
          <w:szCs w:val="20"/>
        </w:rPr>
        <w:t xml:space="preserve">Eastern Health </w:t>
      </w:r>
      <w:r w:rsidRPr="00BA1B7B">
        <w:rPr>
          <w:rFonts w:ascii="Arial" w:hAnsi="Arial" w:cs="Arial"/>
          <w:sz w:val="20"/>
          <w:szCs w:val="20"/>
        </w:rPr>
        <w:t>will decide which hospital a woman attends for birthing services based on;</w:t>
      </w:r>
    </w:p>
    <w:p w14:paraId="7F9D9735" w14:textId="77777777" w:rsidR="00823C57" w:rsidRPr="00BA1B7B" w:rsidRDefault="00823C57" w:rsidP="004A22FD">
      <w:pPr>
        <w:pStyle w:val="ListParagraph"/>
        <w:numPr>
          <w:ilvl w:val="0"/>
          <w:numId w:val="16"/>
        </w:numPr>
        <w:spacing w:line="276" w:lineRule="auto"/>
        <w:rPr>
          <w:rFonts w:ascii="Arial" w:hAnsi="Arial" w:cs="Arial"/>
          <w:sz w:val="20"/>
          <w:szCs w:val="20"/>
        </w:rPr>
      </w:pPr>
      <w:r w:rsidRPr="00BA1B7B">
        <w:rPr>
          <w:rFonts w:ascii="Arial" w:hAnsi="Arial" w:cs="Arial"/>
          <w:sz w:val="20"/>
          <w:szCs w:val="20"/>
        </w:rPr>
        <w:t>Clinical risk as determined by the hospital</w:t>
      </w:r>
    </w:p>
    <w:p w14:paraId="5BBEB706" w14:textId="77777777" w:rsidR="00823C57" w:rsidRPr="00BA1B7B" w:rsidRDefault="00823C57" w:rsidP="004A22FD">
      <w:pPr>
        <w:pStyle w:val="ListParagraph"/>
        <w:numPr>
          <w:ilvl w:val="0"/>
          <w:numId w:val="16"/>
        </w:numPr>
        <w:spacing w:line="276" w:lineRule="auto"/>
        <w:rPr>
          <w:rFonts w:ascii="Arial" w:hAnsi="Arial" w:cs="Arial"/>
          <w:sz w:val="20"/>
          <w:szCs w:val="20"/>
        </w:rPr>
      </w:pPr>
      <w:r w:rsidRPr="00BA1B7B">
        <w:rPr>
          <w:rFonts w:ascii="Arial" w:hAnsi="Arial" w:cs="Arial"/>
          <w:sz w:val="20"/>
          <w:szCs w:val="20"/>
        </w:rPr>
        <w:t xml:space="preserve">The hospitals capability to manage pregnancies as per the Victorian Capability Framework </w:t>
      </w:r>
    </w:p>
    <w:p w14:paraId="3E805B3D" w14:textId="77777777" w:rsidR="00823C57" w:rsidRPr="00BA1B7B" w:rsidRDefault="00823C57" w:rsidP="004A22FD">
      <w:pPr>
        <w:pStyle w:val="ListParagraph"/>
        <w:numPr>
          <w:ilvl w:val="0"/>
          <w:numId w:val="16"/>
        </w:numPr>
        <w:spacing w:line="276" w:lineRule="auto"/>
        <w:rPr>
          <w:rFonts w:ascii="Arial" w:hAnsi="Arial" w:cs="Arial"/>
          <w:sz w:val="20"/>
          <w:szCs w:val="20"/>
        </w:rPr>
      </w:pPr>
      <w:r w:rsidRPr="00BA1B7B">
        <w:rPr>
          <w:rFonts w:ascii="Arial" w:hAnsi="Arial" w:cs="Arial"/>
          <w:sz w:val="20"/>
          <w:szCs w:val="20"/>
        </w:rPr>
        <w:t>The hospitals capacity to accommodate bookings</w:t>
      </w:r>
    </w:p>
    <w:p w14:paraId="146455F1" w14:textId="77777777" w:rsidR="004B7887" w:rsidRPr="00BA1B7B" w:rsidRDefault="00823C57" w:rsidP="004A22FD">
      <w:pPr>
        <w:pStyle w:val="ListParagraph"/>
        <w:numPr>
          <w:ilvl w:val="0"/>
          <w:numId w:val="16"/>
        </w:numPr>
        <w:spacing w:line="276" w:lineRule="auto"/>
        <w:rPr>
          <w:rFonts w:ascii="Arial" w:hAnsi="Arial" w:cs="Arial"/>
          <w:sz w:val="20"/>
          <w:szCs w:val="20"/>
        </w:rPr>
      </w:pPr>
      <w:r w:rsidRPr="00BA1B7B">
        <w:rPr>
          <w:rFonts w:ascii="Arial" w:hAnsi="Arial" w:cs="Arial"/>
          <w:sz w:val="20"/>
          <w:szCs w:val="20"/>
        </w:rPr>
        <w:t xml:space="preserve">Residential address. </w:t>
      </w:r>
    </w:p>
    <w:p w14:paraId="281801E4" w14:textId="488794CD" w:rsidR="00823C57" w:rsidRPr="00BA1B7B" w:rsidRDefault="00823C57" w:rsidP="004B7887">
      <w:pPr>
        <w:spacing w:line="276" w:lineRule="auto"/>
        <w:jc w:val="center"/>
        <w:rPr>
          <w:rFonts w:ascii="Arial" w:hAnsi="Arial" w:cs="Arial"/>
          <w:sz w:val="20"/>
          <w:szCs w:val="20"/>
        </w:rPr>
      </w:pPr>
      <w:r w:rsidRPr="00BA1B7B">
        <w:rPr>
          <w:rFonts w:ascii="Arial" w:hAnsi="Arial" w:cs="Arial"/>
          <w:sz w:val="20"/>
          <w:szCs w:val="20"/>
        </w:rPr>
        <w:t xml:space="preserve">GPs are kindly asked to refrain from nominating which location their patient is booked into, as unfortunately these requests may not be fulfilled. </w:t>
      </w:r>
    </w:p>
    <w:p w14:paraId="3C0D4199" w14:textId="77777777" w:rsidR="00823C57" w:rsidRPr="00BA1B7B" w:rsidRDefault="00823C57" w:rsidP="00823C57">
      <w:pPr>
        <w:spacing w:line="276" w:lineRule="auto"/>
        <w:rPr>
          <w:rFonts w:ascii="Arial" w:hAnsi="Arial" w:cs="Arial"/>
          <w:b/>
          <w:bCs/>
          <w:i/>
          <w:iCs/>
          <w:sz w:val="20"/>
          <w:szCs w:val="20"/>
        </w:rPr>
      </w:pPr>
    </w:p>
    <w:p w14:paraId="639A6624" w14:textId="5D62D827" w:rsidR="00823C57" w:rsidRPr="00BA1B7B" w:rsidRDefault="00823C57"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35" w:name="_Toc120614290"/>
      <w:r w:rsidRPr="00BA1B7B">
        <w:rPr>
          <w:rFonts w:ascii="Arial" w:eastAsia="Times New Roman" w:hAnsi="Arial" w:cs="Arial"/>
          <w:b/>
          <w:bCs/>
          <w:sz w:val="20"/>
          <w:szCs w:val="20"/>
          <w:lang w:eastAsia="en-AU"/>
        </w:rPr>
        <w:t>4.4 How to Refer/Book into Eastern Health:</w:t>
      </w:r>
      <w:bookmarkEnd w:id="35"/>
    </w:p>
    <w:p w14:paraId="354D71EF"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To refer a woman to a hospital for maternity care, the general practitioner (GP) should complete and send an e-referral after pregnancy is confirmed, see link </w:t>
      </w:r>
      <w:hyperlink r:id="rId54" w:history="1">
        <w:r w:rsidRPr="00BA1B7B">
          <w:rPr>
            <w:rStyle w:val="Hyperlink"/>
            <w:rFonts w:ascii="Arial" w:hAnsi="Arial" w:cs="Arial"/>
            <w:color w:val="auto"/>
            <w:sz w:val="20"/>
            <w:szCs w:val="20"/>
          </w:rPr>
          <w:t>https://au.healthlink.net/au_registration/</w:t>
        </w:r>
      </w:hyperlink>
    </w:p>
    <w:p w14:paraId="7718A527" w14:textId="77777777" w:rsidR="00823C57" w:rsidRPr="00BA1B7B" w:rsidRDefault="00823C57" w:rsidP="00823C57">
      <w:pPr>
        <w:spacing w:line="276" w:lineRule="auto"/>
        <w:rPr>
          <w:rFonts w:ascii="Arial" w:hAnsi="Arial" w:cs="Arial"/>
          <w:sz w:val="20"/>
          <w:szCs w:val="20"/>
        </w:rPr>
      </w:pPr>
    </w:p>
    <w:p w14:paraId="0784C660"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GPs to provide all relevant information and referrals should be completed as directed within the form.</w:t>
      </w:r>
    </w:p>
    <w:p w14:paraId="0BBB186F" w14:textId="77777777" w:rsidR="00823C57" w:rsidRPr="00BA1B7B" w:rsidRDefault="00823C57" w:rsidP="00823C57">
      <w:pPr>
        <w:spacing w:line="276" w:lineRule="auto"/>
        <w:rPr>
          <w:rFonts w:ascii="Arial" w:hAnsi="Arial" w:cs="Arial"/>
          <w:sz w:val="20"/>
          <w:szCs w:val="20"/>
          <w:highlight w:val="yellow"/>
        </w:rPr>
      </w:pPr>
    </w:p>
    <w:p w14:paraId="23A51FB6" w14:textId="44DECE99"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Practices without conformant software can register for a ‘free’ HealthLink Portal licence by completing the online registration form and notate in the Comments/Message field that you would like to use the </w:t>
      </w:r>
      <w:r w:rsidR="004B7887" w:rsidRPr="00BA1B7B">
        <w:rPr>
          <w:rFonts w:ascii="Arial" w:hAnsi="Arial" w:cs="Arial"/>
          <w:sz w:val="20"/>
          <w:szCs w:val="20"/>
        </w:rPr>
        <w:lastRenderedPageBreak/>
        <w:t>Smart Forms</w:t>
      </w:r>
      <w:r w:rsidRPr="00BA1B7B">
        <w:rPr>
          <w:rFonts w:ascii="Arial" w:hAnsi="Arial" w:cs="Arial"/>
          <w:sz w:val="20"/>
          <w:szCs w:val="20"/>
        </w:rPr>
        <w:t xml:space="preserve"> and select the two checkboxes -  Receive Electronic Correspondence (Free of charge) and Send Electronic Smart Forms (My Aged Care, Transport for NSW, Monash Health etc).</w:t>
      </w:r>
    </w:p>
    <w:p w14:paraId="10BE443D" w14:textId="77777777" w:rsidR="00823C57" w:rsidRPr="00BA1B7B" w:rsidRDefault="00823C57" w:rsidP="00823C57">
      <w:pPr>
        <w:spacing w:line="276" w:lineRule="auto"/>
        <w:rPr>
          <w:rFonts w:ascii="Arial" w:hAnsi="Arial" w:cs="Arial"/>
          <w:sz w:val="20"/>
          <w:szCs w:val="20"/>
        </w:rPr>
      </w:pPr>
    </w:p>
    <w:p w14:paraId="6E4C97B2"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 Completing the E-referral will ensure timely access to appropriate level of maternity care. Women will be contacted directly about their appointments.</w:t>
      </w:r>
      <w:r w:rsidRPr="00BA1B7B">
        <w:rPr>
          <w:rFonts w:ascii="Arial" w:hAnsi="Arial" w:cs="Arial"/>
          <w:sz w:val="20"/>
          <w:szCs w:val="20"/>
        </w:rPr>
        <w:br/>
      </w:r>
    </w:p>
    <w:p w14:paraId="0B648912"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Eastern Health requests that all relevant pathology results and imaging reports be included in the referral where possible and women provided with a hard copy of results to bring to initial booking appointment. Unavailable results should </w:t>
      </w:r>
      <w:r w:rsidRPr="00BA1B7B">
        <w:rPr>
          <w:rFonts w:ascii="Arial" w:hAnsi="Arial" w:cs="Arial"/>
          <w:b/>
          <w:bCs/>
          <w:sz w:val="20"/>
          <w:szCs w:val="20"/>
        </w:rPr>
        <w:t>NOT</w:t>
      </w:r>
      <w:r w:rsidRPr="00BA1B7B">
        <w:rPr>
          <w:rFonts w:ascii="Arial" w:hAnsi="Arial" w:cs="Arial"/>
          <w:sz w:val="20"/>
          <w:szCs w:val="20"/>
        </w:rPr>
        <w:t xml:space="preserve"> delay referral and can be sent at a later date. Once GP referral complete please advise women to book in on-line as soon as possible.</w:t>
      </w:r>
    </w:p>
    <w:p w14:paraId="2AEB1F54"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Women who no longer require maternity services should have their referral cancelled where possible.</w:t>
      </w:r>
    </w:p>
    <w:p w14:paraId="191D9E4D" w14:textId="77777777" w:rsidR="00823C57" w:rsidRPr="00BA1B7B" w:rsidRDefault="00823C57" w:rsidP="00823C57">
      <w:pPr>
        <w:spacing w:line="276" w:lineRule="auto"/>
        <w:jc w:val="center"/>
        <w:rPr>
          <w:rFonts w:ascii="Arial" w:hAnsi="Arial" w:cs="Arial"/>
          <w:b/>
          <w:bCs/>
          <w:i/>
          <w:iCs/>
          <w:sz w:val="20"/>
          <w:szCs w:val="20"/>
          <w:u w:val="single"/>
        </w:rPr>
      </w:pPr>
    </w:p>
    <w:p w14:paraId="204EC013" w14:textId="77777777" w:rsidR="00823C57" w:rsidRPr="00BA1B7B" w:rsidRDefault="00823C57" w:rsidP="00823C57">
      <w:pPr>
        <w:spacing w:line="276" w:lineRule="auto"/>
        <w:jc w:val="center"/>
        <w:rPr>
          <w:rFonts w:ascii="Arial" w:hAnsi="Arial" w:cs="Arial"/>
          <w:b/>
          <w:bCs/>
          <w:i/>
          <w:iCs/>
          <w:sz w:val="20"/>
          <w:szCs w:val="20"/>
          <w:u w:val="single"/>
        </w:rPr>
      </w:pPr>
      <w:r w:rsidRPr="00BA1B7B">
        <w:rPr>
          <w:rFonts w:ascii="Arial" w:hAnsi="Arial" w:cs="Arial"/>
          <w:b/>
          <w:bCs/>
          <w:i/>
          <w:iCs/>
          <w:sz w:val="20"/>
          <w:szCs w:val="20"/>
          <w:u w:val="single"/>
        </w:rPr>
        <w:t xml:space="preserve">All women booking to Eastern Health Maternity Services require a doctor’s referral </w:t>
      </w:r>
    </w:p>
    <w:p w14:paraId="71C1B581" w14:textId="1E419B6F" w:rsidR="00823C57" w:rsidRPr="00BA1B7B" w:rsidRDefault="00823C57" w:rsidP="00823C57">
      <w:pPr>
        <w:spacing w:line="276" w:lineRule="auto"/>
        <w:rPr>
          <w:rFonts w:ascii="Arial" w:hAnsi="Arial" w:cs="Arial"/>
          <w:b/>
          <w:sz w:val="20"/>
          <w:szCs w:val="20"/>
        </w:rPr>
      </w:pPr>
    </w:p>
    <w:p w14:paraId="2F5D1864" w14:textId="2D042324" w:rsidR="00823C57" w:rsidRPr="00BA1B7B" w:rsidRDefault="00823C57"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36" w:name="_Toc120614291"/>
      <w:r w:rsidRPr="00BA1B7B">
        <w:rPr>
          <w:rFonts w:ascii="Arial" w:eastAsia="Times New Roman" w:hAnsi="Arial" w:cs="Arial"/>
          <w:b/>
          <w:bCs/>
          <w:sz w:val="20"/>
          <w:szCs w:val="20"/>
          <w:lang w:eastAsia="en-AU"/>
        </w:rPr>
        <w:t>4.5 Referral to Obstetric Medicine</w:t>
      </w:r>
      <w:bookmarkEnd w:id="36"/>
    </w:p>
    <w:p w14:paraId="217D77FE" w14:textId="77777777" w:rsidR="00823C57" w:rsidRPr="00BA1B7B" w:rsidRDefault="00823C57" w:rsidP="00823C57">
      <w:pPr>
        <w:spacing w:line="276" w:lineRule="auto"/>
        <w:rPr>
          <w:rFonts w:ascii="Arial" w:hAnsi="Arial" w:cs="Arial"/>
          <w:sz w:val="20"/>
          <w:szCs w:val="20"/>
          <w:lang w:val="en-GB"/>
        </w:rPr>
      </w:pPr>
      <w:r w:rsidRPr="00BA1B7B">
        <w:rPr>
          <w:rFonts w:ascii="Arial" w:hAnsi="Arial" w:cs="Arial"/>
          <w:sz w:val="20"/>
          <w:szCs w:val="20"/>
          <w:lang w:val="en-GB"/>
        </w:rPr>
        <w:t>Obstetric Medicine works with obstetrics, maternal-fetal medicine and midwifery. The Eastern Health Obstetric Medicine Service provides co-ordinated medical input into pre-pregnancy, antenatal and post-natal care of women with medical disorders, risks or complications.</w:t>
      </w:r>
    </w:p>
    <w:p w14:paraId="6570FF92" w14:textId="77777777" w:rsidR="00823C57" w:rsidRPr="00BA1B7B" w:rsidRDefault="00823C57" w:rsidP="00823C57">
      <w:pPr>
        <w:spacing w:line="276" w:lineRule="auto"/>
        <w:rPr>
          <w:rFonts w:ascii="Arial" w:hAnsi="Arial" w:cs="Arial"/>
          <w:sz w:val="20"/>
          <w:szCs w:val="20"/>
          <w:lang w:val="en-GB"/>
        </w:rPr>
      </w:pPr>
    </w:p>
    <w:p w14:paraId="3B097C00" w14:textId="77777777" w:rsidR="00823C57" w:rsidRPr="00BA1B7B" w:rsidRDefault="00823C57" w:rsidP="00823C57">
      <w:pPr>
        <w:spacing w:line="276" w:lineRule="auto"/>
        <w:rPr>
          <w:rFonts w:ascii="Arial" w:hAnsi="Arial" w:cs="Arial"/>
          <w:sz w:val="20"/>
          <w:szCs w:val="20"/>
          <w:lang w:val="en-GB"/>
        </w:rPr>
      </w:pPr>
      <w:r w:rsidRPr="00BA1B7B">
        <w:rPr>
          <w:rFonts w:ascii="Arial" w:hAnsi="Arial" w:cs="Arial"/>
          <w:sz w:val="20"/>
          <w:szCs w:val="20"/>
          <w:lang w:val="en-GB"/>
        </w:rPr>
        <w:t xml:space="preserve">Wherever possible, it is important for chronic medical conditions and their management to be optimised pre-pregnancy, as there is evidence that this improves both maternal and fetal outcomes. It also gives women an opportunity to make informed decisions. Pre-pregnancy assessment in women who have, or are at risk of, specific medical disorders and complications, gives clinicians the opportunity to mitigate those risks more effectively.  </w:t>
      </w:r>
    </w:p>
    <w:p w14:paraId="75E6DE6B" w14:textId="77777777" w:rsidR="00823C57" w:rsidRPr="00BA1B7B" w:rsidRDefault="00823C57" w:rsidP="00823C57">
      <w:pPr>
        <w:spacing w:line="276" w:lineRule="auto"/>
        <w:rPr>
          <w:rFonts w:ascii="Arial" w:hAnsi="Arial" w:cs="Arial"/>
          <w:sz w:val="20"/>
          <w:szCs w:val="20"/>
          <w:lang w:val="en-GB"/>
        </w:rPr>
      </w:pPr>
    </w:p>
    <w:p w14:paraId="34EFA795" w14:textId="77777777" w:rsidR="00823C57" w:rsidRPr="00BA1B7B" w:rsidRDefault="00823C57" w:rsidP="00823C57">
      <w:pPr>
        <w:spacing w:line="276" w:lineRule="auto"/>
        <w:rPr>
          <w:rFonts w:ascii="Arial" w:hAnsi="Arial" w:cs="Arial"/>
          <w:sz w:val="20"/>
          <w:szCs w:val="20"/>
          <w:lang w:val="en-GB"/>
        </w:rPr>
      </w:pPr>
      <w:r w:rsidRPr="00BA1B7B">
        <w:rPr>
          <w:rFonts w:ascii="Arial" w:hAnsi="Arial" w:cs="Arial"/>
          <w:sz w:val="20"/>
          <w:szCs w:val="20"/>
          <w:lang w:val="en-GB"/>
        </w:rPr>
        <w:t>We take direct GP outpatient referrals and in-house referrals from Eastern Health’s Maternity Service, as well as offering phone advice and support to GPs regarding patients of our service, where necessary.  </w:t>
      </w:r>
    </w:p>
    <w:p w14:paraId="68FCCA94" w14:textId="77777777" w:rsidR="00823C57" w:rsidRPr="00BA1B7B" w:rsidRDefault="00823C57" w:rsidP="00823C57">
      <w:pPr>
        <w:spacing w:line="276" w:lineRule="auto"/>
        <w:rPr>
          <w:rFonts w:ascii="Arial" w:hAnsi="Arial" w:cs="Arial"/>
          <w:sz w:val="20"/>
          <w:szCs w:val="20"/>
          <w:lang w:val="en-GB"/>
        </w:rPr>
      </w:pPr>
      <w:r w:rsidRPr="00BA1B7B">
        <w:rPr>
          <w:rFonts w:ascii="Arial" w:hAnsi="Arial" w:cs="Arial"/>
          <w:sz w:val="20"/>
          <w:szCs w:val="20"/>
          <w:lang w:val="en-GB"/>
        </w:rPr>
        <w:br/>
        <w:t>We have a weekly, multidisciplinary, High-Risk Pregnancy Clinic staffed by</w:t>
      </w:r>
    </w:p>
    <w:p w14:paraId="44F48C99" w14:textId="77777777" w:rsidR="00823C57" w:rsidRPr="00BA1B7B" w:rsidRDefault="00823C57" w:rsidP="004A22FD">
      <w:pPr>
        <w:numPr>
          <w:ilvl w:val="0"/>
          <w:numId w:val="15"/>
        </w:numPr>
        <w:spacing w:line="276" w:lineRule="auto"/>
        <w:rPr>
          <w:rFonts w:ascii="Arial" w:hAnsi="Arial" w:cs="Arial"/>
          <w:sz w:val="20"/>
          <w:szCs w:val="20"/>
          <w:lang w:val="en-GB"/>
        </w:rPr>
      </w:pPr>
      <w:r w:rsidRPr="00BA1B7B">
        <w:rPr>
          <w:rFonts w:ascii="Arial" w:hAnsi="Arial" w:cs="Arial"/>
          <w:sz w:val="20"/>
          <w:szCs w:val="20"/>
          <w:lang w:val="en-GB"/>
        </w:rPr>
        <w:t>Obstetric physicians with background specialties not only in obstetric medicine, but also in nephrology, haematology, and gastroenterology;</w:t>
      </w:r>
    </w:p>
    <w:p w14:paraId="74C29495" w14:textId="77777777" w:rsidR="00823C57" w:rsidRPr="00BA1B7B" w:rsidRDefault="00823C57" w:rsidP="004A22FD">
      <w:pPr>
        <w:numPr>
          <w:ilvl w:val="0"/>
          <w:numId w:val="15"/>
        </w:numPr>
        <w:spacing w:line="276" w:lineRule="auto"/>
        <w:rPr>
          <w:rFonts w:ascii="Arial" w:hAnsi="Arial" w:cs="Arial"/>
          <w:sz w:val="20"/>
          <w:szCs w:val="20"/>
          <w:lang w:val="en-GB"/>
        </w:rPr>
      </w:pPr>
      <w:r w:rsidRPr="00BA1B7B">
        <w:rPr>
          <w:rFonts w:ascii="Arial" w:hAnsi="Arial" w:cs="Arial"/>
          <w:sz w:val="20"/>
          <w:szCs w:val="20"/>
          <w:lang w:val="en-GB"/>
        </w:rPr>
        <w:t>Consultant obstetricians/MFM sub-specialists;</w:t>
      </w:r>
    </w:p>
    <w:p w14:paraId="67CB1183" w14:textId="77777777" w:rsidR="00823C57" w:rsidRPr="00BA1B7B" w:rsidRDefault="00823C57" w:rsidP="004A22FD">
      <w:pPr>
        <w:numPr>
          <w:ilvl w:val="0"/>
          <w:numId w:val="15"/>
        </w:numPr>
        <w:spacing w:line="276" w:lineRule="auto"/>
        <w:rPr>
          <w:rFonts w:ascii="Arial" w:hAnsi="Arial" w:cs="Arial"/>
          <w:sz w:val="20"/>
          <w:szCs w:val="20"/>
          <w:lang w:val="en-GB"/>
        </w:rPr>
      </w:pPr>
      <w:r w:rsidRPr="00BA1B7B">
        <w:rPr>
          <w:rFonts w:ascii="Arial" w:hAnsi="Arial" w:cs="Arial"/>
          <w:sz w:val="20"/>
          <w:szCs w:val="20"/>
          <w:lang w:val="en-GB"/>
        </w:rPr>
        <w:t>Midwives.</w:t>
      </w:r>
    </w:p>
    <w:p w14:paraId="746BB251" w14:textId="77777777" w:rsidR="00823C57" w:rsidRPr="00BA1B7B" w:rsidRDefault="00823C57" w:rsidP="00823C57">
      <w:pPr>
        <w:spacing w:line="276" w:lineRule="auto"/>
        <w:rPr>
          <w:rFonts w:ascii="Arial" w:hAnsi="Arial" w:cs="Arial"/>
          <w:sz w:val="20"/>
          <w:szCs w:val="20"/>
          <w:lang w:val="en-GB"/>
        </w:rPr>
      </w:pPr>
    </w:p>
    <w:p w14:paraId="62A4C48F" w14:textId="77777777" w:rsidR="00823C57" w:rsidRPr="00BA1B7B" w:rsidRDefault="00823C57" w:rsidP="00823C57">
      <w:pPr>
        <w:spacing w:line="276" w:lineRule="auto"/>
        <w:rPr>
          <w:rFonts w:ascii="Arial" w:hAnsi="Arial" w:cs="Arial"/>
          <w:sz w:val="20"/>
          <w:szCs w:val="20"/>
          <w:lang w:val="en-GB"/>
        </w:rPr>
      </w:pPr>
      <w:r w:rsidRPr="00BA1B7B">
        <w:rPr>
          <w:rFonts w:ascii="Arial" w:hAnsi="Arial" w:cs="Arial"/>
          <w:sz w:val="20"/>
          <w:szCs w:val="20"/>
          <w:lang w:val="en-GB"/>
        </w:rPr>
        <w:t>A letter containing a full assessment and recommended management plan will be returned to the GP following the appointment.</w:t>
      </w:r>
    </w:p>
    <w:p w14:paraId="66159AF5" w14:textId="77777777" w:rsidR="00823C57" w:rsidRPr="00BA1B7B" w:rsidRDefault="00823C57" w:rsidP="00823C57">
      <w:pPr>
        <w:spacing w:line="276" w:lineRule="auto"/>
        <w:rPr>
          <w:rFonts w:ascii="Arial" w:hAnsi="Arial" w:cs="Arial"/>
          <w:sz w:val="20"/>
          <w:szCs w:val="20"/>
        </w:rPr>
      </w:pPr>
    </w:p>
    <w:p w14:paraId="65E69041" w14:textId="77777777" w:rsidR="00823C57" w:rsidRPr="00BA1B7B" w:rsidRDefault="00A97F97" w:rsidP="00823C57">
      <w:pPr>
        <w:spacing w:line="276" w:lineRule="auto"/>
        <w:rPr>
          <w:rFonts w:ascii="Arial" w:hAnsi="Arial" w:cs="Arial"/>
          <w:sz w:val="20"/>
          <w:szCs w:val="20"/>
        </w:rPr>
      </w:pPr>
      <w:hyperlink r:id="rId55" w:history="1">
        <w:r w:rsidR="00823C57" w:rsidRPr="00BA1B7B">
          <w:rPr>
            <w:rStyle w:val="Hyperlink"/>
            <w:rFonts w:ascii="Arial" w:hAnsi="Arial" w:cs="Arial"/>
            <w:color w:val="auto"/>
            <w:sz w:val="20"/>
            <w:szCs w:val="20"/>
          </w:rPr>
          <w:t>https://www.easternhealth.org.au/services/item/639-obstetric-medicine</w:t>
        </w:r>
      </w:hyperlink>
    </w:p>
    <w:p w14:paraId="7AFCE875" w14:textId="63A18D82" w:rsidR="004B7887" w:rsidRPr="00BA1B7B" w:rsidRDefault="004B7887" w:rsidP="00823C57">
      <w:pPr>
        <w:spacing w:line="276" w:lineRule="auto"/>
        <w:rPr>
          <w:rFonts w:ascii="Arial" w:hAnsi="Arial" w:cs="Arial"/>
          <w:b/>
          <w:bCs/>
          <w:sz w:val="20"/>
          <w:szCs w:val="20"/>
          <w:u w:val="single"/>
        </w:rPr>
      </w:pPr>
    </w:p>
    <w:p w14:paraId="05ADCAA9" w14:textId="3F657BBE" w:rsidR="00823C57" w:rsidRPr="00BA1B7B" w:rsidRDefault="007A499C"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37" w:name="_Toc120614292"/>
      <w:r w:rsidRPr="00BA1B7B">
        <w:rPr>
          <w:rFonts w:ascii="Arial" w:eastAsia="Times New Roman" w:hAnsi="Arial" w:cs="Arial"/>
          <w:b/>
          <w:bCs/>
          <w:sz w:val="20"/>
          <w:szCs w:val="20"/>
          <w:lang w:eastAsia="en-AU"/>
        </w:rPr>
        <w:t xml:space="preserve">4.6 Section 4 </w:t>
      </w:r>
      <w:r w:rsidR="00823C57" w:rsidRPr="00BA1B7B">
        <w:rPr>
          <w:rFonts w:ascii="Arial" w:eastAsia="Times New Roman" w:hAnsi="Arial" w:cs="Arial"/>
          <w:b/>
          <w:bCs/>
          <w:sz w:val="20"/>
          <w:szCs w:val="20"/>
          <w:lang w:eastAsia="en-AU"/>
        </w:rPr>
        <w:t>References and resources</w:t>
      </w:r>
      <w:bookmarkEnd w:id="37"/>
    </w:p>
    <w:p w14:paraId="77445623" w14:textId="77777777" w:rsidR="00823C57" w:rsidRPr="00BA1B7B" w:rsidRDefault="00823C57" w:rsidP="00823C57">
      <w:pPr>
        <w:rPr>
          <w:rFonts w:ascii="Arial" w:hAnsi="Arial" w:cs="Arial"/>
          <w:b/>
          <w:bCs/>
          <w:sz w:val="20"/>
          <w:szCs w:val="20"/>
        </w:rPr>
      </w:pPr>
      <w:bookmarkStart w:id="38" w:name="_Hlk48211816"/>
    </w:p>
    <w:p w14:paraId="13A96505"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lastRenderedPageBreak/>
        <w:t>EH Policy 2193: Eastern Health Expected Pathways of Care for Pregnant Women</w:t>
      </w:r>
    </w:p>
    <w:p w14:paraId="64951E4C" w14:textId="77777777" w:rsidR="00823C57" w:rsidRPr="00BA1B7B" w:rsidRDefault="00823C57" w:rsidP="004A22FD">
      <w:pPr>
        <w:pStyle w:val="ListParagraph"/>
        <w:numPr>
          <w:ilvl w:val="1"/>
          <w:numId w:val="14"/>
        </w:numPr>
        <w:spacing w:after="0" w:line="276" w:lineRule="auto"/>
        <w:rPr>
          <w:rFonts w:ascii="Arial" w:hAnsi="Arial" w:cs="Arial"/>
          <w:sz w:val="20"/>
          <w:szCs w:val="20"/>
        </w:rPr>
      </w:pPr>
      <w:r w:rsidRPr="00BA1B7B">
        <w:rPr>
          <w:rFonts w:ascii="Arial" w:hAnsi="Arial" w:cs="Arial"/>
          <w:sz w:val="20"/>
          <w:szCs w:val="20"/>
        </w:rPr>
        <w:t xml:space="preserve">Green collaborative Maternity Care Pathway Version 7:19.11.2020 </w:t>
      </w:r>
    </w:p>
    <w:p w14:paraId="47B82D44" w14:textId="77777777" w:rsidR="00823C57" w:rsidRPr="00BA1B7B" w:rsidRDefault="00823C57" w:rsidP="004A22FD">
      <w:pPr>
        <w:pStyle w:val="ListParagraph"/>
        <w:numPr>
          <w:ilvl w:val="1"/>
          <w:numId w:val="14"/>
        </w:numPr>
        <w:spacing w:after="0" w:line="276" w:lineRule="auto"/>
        <w:rPr>
          <w:rFonts w:ascii="Arial" w:hAnsi="Arial" w:cs="Arial"/>
          <w:sz w:val="20"/>
          <w:szCs w:val="20"/>
        </w:rPr>
      </w:pPr>
      <w:r w:rsidRPr="00BA1B7B">
        <w:rPr>
          <w:rFonts w:ascii="Arial" w:hAnsi="Arial" w:cs="Arial"/>
          <w:sz w:val="20"/>
          <w:szCs w:val="20"/>
        </w:rPr>
        <w:t xml:space="preserve">Guidelines for Consultation and Collaborative Maternity Care Planning </w:t>
      </w:r>
    </w:p>
    <w:bookmarkEnd w:id="38"/>
    <w:p w14:paraId="7FAD5381" w14:textId="77777777" w:rsidR="00823C57" w:rsidRPr="00BA1B7B" w:rsidRDefault="00823C57" w:rsidP="00823C57">
      <w:pPr>
        <w:spacing w:line="276" w:lineRule="auto"/>
        <w:rPr>
          <w:rFonts w:ascii="Arial" w:hAnsi="Arial" w:cs="Arial"/>
          <w:sz w:val="20"/>
          <w:szCs w:val="20"/>
        </w:rPr>
      </w:pPr>
    </w:p>
    <w:p w14:paraId="376978D8"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 xml:space="preserve">Alcohol and Drug Foundation (2020) Alcohol and Pregnancy: </w:t>
      </w:r>
      <w:hyperlink r:id="rId56" w:history="1">
        <w:r w:rsidRPr="00BA1B7B">
          <w:rPr>
            <w:rStyle w:val="Hyperlink"/>
            <w:rFonts w:ascii="Arial" w:hAnsi="Arial" w:cs="Arial"/>
            <w:color w:val="auto"/>
            <w:sz w:val="20"/>
            <w:szCs w:val="20"/>
          </w:rPr>
          <w:t>https://adf.org.au/insights/alcohol-and-pregnancy/</w:t>
        </w:r>
      </w:hyperlink>
    </w:p>
    <w:p w14:paraId="644DCF68" w14:textId="77777777" w:rsidR="00823C57" w:rsidRPr="00BA1B7B" w:rsidRDefault="00823C57" w:rsidP="00823C57">
      <w:pPr>
        <w:spacing w:line="276" w:lineRule="auto"/>
        <w:rPr>
          <w:rFonts w:ascii="Arial" w:hAnsi="Arial" w:cs="Arial"/>
          <w:sz w:val="20"/>
          <w:szCs w:val="20"/>
        </w:rPr>
      </w:pPr>
    </w:p>
    <w:p w14:paraId="181AB9ED"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Australian Technical Advisory Group on Immunization (ATAGI). Australian Immunization Handbook, Australian Government Department of Health, Canberra, 2018, immunizationhandbook.health.gov.au.</w:t>
      </w:r>
    </w:p>
    <w:p w14:paraId="545B7736" w14:textId="77777777" w:rsidR="00823C57" w:rsidRPr="00BA1B7B" w:rsidRDefault="00A97F97" w:rsidP="004A22FD">
      <w:pPr>
        <w:pStyle w:val="ListParagraph"/>
        <w:numPr>
          <w:ilvl w:val="0"/>
          <w:numId w:val="13"/>
        </w:numPr>
        <w:spacing w:line="276" w:lineRule="auto"/>
        <w:rPr>
          <w:rFonts w:ascii="Arial" w:hAnsi="Arial" w:cs="Arial"/>
          <w:sz w:val="20"/>
          <w:szCs w:val="20"/>
        </w:rPr>
      </w:pPr>
      <w:hyperlink r:id="rId57" w:history="1">
        <w:r w:rsidR="00823C57" w:rsidRPr="00BA1B7B">
          <w:rPr>
            <w:rStyle w:val="Hyperlink"/>
            <w:rFonts w:ascii="Arial" w:hAnsi="Arial" w:cs="Arial"/>
            <w:color w:val="auto"/>
            <w:sz w:val="20"/>
            <w:szCs w:val="20"/>
          </w:rPr>
          <w:t>https://immunizationhandbook.health.gov.au/vaccination-for-special-risk-groups/vaccination-for-women-who-are-planning-pregnancy-pregnant-or</w:t>
        </w:r>
      </w:hyperlink>
    </w:p>
    <w:p w14:paraId="53F942B6" w14:textId="77777777" w:rsidR="00823C57" w:rsidRPr="00BA1B7B" w:rsidRDefault="00823C57" w:rsidP="00823C57">
      <w:pPr>
        <w:spacing w:line="276" w:lineRule="auto"/>
        <w:rPr>
          <w:rFonts w:ascii="Arial" w:hAnsi="Arial" w:cs="Arial"/>
          <w:sz w:val="20"/>
          <w:szCs w:val="20"/>
        </w:rPr>
      </w:pPr>
    </w:p>
    <w:p w14:paraId="1C810FC5" w14:textId="77777777" w:rsidR="00823C57" w:rsidRPr="00BA1B7B" w:rsidRDefault="00823C57" w:rsidP="004A22FD">
      <w:pPr>
        <w:pStyle w:val="ListParagraph"/>
        <w:numPr>
          <w:ilvl w:val="0"/>
          <w:numId w:val="13"/>
        </w:numPr>
        <w:spacing w:line="276" w:lineRule="auto"/>
        <w:rPr>
          <w:rFonts w:ascii="Arial" w:hAnsi="Arial" w:cs="Arial"/>
          <w:sz w:val="20"/>
          <w:szCs w:val="20"/>
        </w:rPr>
      </w:pPr>
      <w:bookmarkStart w:id="39" w:name="_Hlk48201936"/>
      <w:r w:rsidRPr="00BA1B7B">
        <w:rPr>
          <w:rFonts w:ascii="Arial" w:hAnsi="Arial" w:cs="Arial"/>
          <w:sz w:val="20"/>
          <w:szCs w:val="20"/>
        </w:rPr>
        <w:t>Centre of Perinatal Excellence (2020) Edinburgh Perinatal Depression Scale – Questionnaire and Scoring guide</w:t>
      </w:r>
    </w:p>
    <w:p w14:paraId="1E46AF44" w14:textId="77777777" w:rsidR="00823C57" w:rsidRPr="00BA1B7B" w:rsidRDefault="00A97F97" w:rsidP="00823C57">
      <w:pPr>
        <w:pStyle w:val="ListParagraph"/>
        <w:spacing w:line="276" w:lineRule="auto"/>
        <w:rPr>
          <w:rFonts w:ascii="Arial" w:hAnsi="Arial" w:cs="Arial"/>
          <w:sz w:val="20"/>
          <w:szCs w:val="20"/>
        </w:rPr>
      </w:pPr>
      <w:hyperlink r:id="rId58" w:history="1">
        <w:r w:rsidR="00823C57" w:rsidRPr="00BA1B7B">
          <w:rPr>
            <w:rStyle w:val="Hyperlink"/>
            <w:rFonts w:ascii="Arial" w:hAnsi="Arial" w:cs="Arial"/>
            <w:color w:val="auto"/>
            <w:sz w:val="20"/>
            <w:szCs w:val="20"/>
          </w:rPr>
          <w:t>https://www.cope.org.au/health-professionals/health-professionals-3/calculating-score-epds/</w:t>
        </w:r>
      </w:hyperlink>
      <w:bookmarkEnd w:id="39"/>
    </w:p>
    <w:p w14:paraId="18BE8E1C" w14:textId="77777777" w:rsidR="00823C57" w:rsidRPr="00BA1B7B" w:rsidRDefault="00823C57" w:rsidP="00823C57">
      <w:pPr>
        <w:pStyle w:val="ListParagraph"/>
        <w:spacing w:line="276" w:lineRule="auto"/>
        <w:rPr>
          <w:rFonts w:ascii="Arial" w:hAnsi="Arial" w:cs="Arial"/>
          <w:sz w:val="20"/>
          <w:szCs w:val="20"/>
        </w:rPr>
      </w:pPr>
      <w:bookmarkStart w:id="40" w:name="_Hlk48202795"/>
    </w:p>
    <w:p w14:paraId="615E89CF"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 xml:space="preserve">Department of Health (2020) Clinical Practice Guidelines: Pregnancy Care. Canberra: Australian Government Department of Health. </w:t>
      </w:r>
      <w:hyperlink r:id="rId59" w:history="1">
        <w:r w:rsidRPr="00BA1B7B">
          <w:rPr>
            <w:rStyle w:val="Hyperlink"/>
            <w:rFonts w:ascii="Arial" w:hAnsi="Arial" w:cs="Arial"/>
            <w:color w:val="auto"/>
            <w:sz w:val="20"/>
            <w:szCs w:val="20"/>
          </w:rPr>
          <w:t>https://www.health.gov.au/resources/pregnancy-care-guidelines/part-d-clinical-assessments/gestational-age</w:t>
        </w:r>
      </w:hyperlink>
    </w:p>
    <w:bookmarkEnd w:id="40"/>
    <w:p w14:paraId="02D9A88A" w14:textId="77777777" w:rsidR="00823C57" w:rsidRPr="00BA1B7B" w:rsidRDefault="00823C57" w:rsidP="00823C57">
      <w:pPr>
        <w:spacing w:line="276" w:lineRule="auto"/>
        <w:rPr>
          <w:rFonts w:ascii="Arial" w:hAnsi="Arial" w:cs="Arial"/>
          <w:sz w:val="20"/>
          <w:szCs w:val="20"/>
        </w:rPr>
      </w:pPr>
    </w:p>
    <w:p w14:paraId="73235D8B"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 xml:space="preserve">Department of Health (2020) Clinical Practice Guidelines: Pregnancy Care.Canberra: Australian Government Department of Health. </w:t>
      </w:r>
      <w:hyperlink r:id="rId60" w:history="1">
        <w:r w:rsidRPr="00BA1B7B">
          <w:rPr>
            <w:rStyle w:val="Hyperlink"/>
            <w:rFonts w:ascii="Arial" w:hAnsi="Arial" w:cs="Arial"/>
            <w:color w:val="auto"/>
            <w:sz w:val="20"/>
            <w:szCs w:val="20"/>
          </w:rPr>
          <w:t>https://www.health.gov.au/resources/pregnancy-care-guidelines/part-e-social-and-emotional-screening</w:t>
        </w:r>
      </w:hyperlink>
    </w:p>
    <w:p w14:paraId="2EC88C2B" w14:textId="77777777" w:rsidR="00823C57" w:rsidRPr="00BA1B7B" w:rsidRDefault="00823C57" w:rsidP="00823C57">
      <w:pPr>
        <w:spacing w:line="276" w:lineRule="auto"/>
        <w:rPr>
          <w:rFonts w:ascii="Arial" w:hAnsi="Arial" w:cs="Arial"/>
          <w:sz w:val="20"/>
          <w:szCs w:val="20"/>
          <w:u w:val="single"/>
        </w:rPr>
      </w:pPr>
    </w:p>
    <w:p w14:paraId="5EB622F6" w14:textId="77777777" w:rsidR="00823C57" w:rsidRPr="00BA1B7B" w:rsidRDefault="00823C57" w:rsidP="004A22FD">
      <w:pPr>
        <w:pStyle w:val="ListParagraph"/>
        <w:numPr>
          <w:ilvl w:val="0"/>
          <w:numId w:val="13"/>
        </w:numPr>
        <w:spacing w:line="276" w:lineRule="auto"/>
        <w:rPr>
          <w:rStyle w:val="Hyperlink"/>
          <w:rFonts w:ascii="Arial" w:hAnsi="Arial" w:cs="Arial"/>
          <w:color w:val="auto"/>
          <w:sz w:val="20"/>
          <w:szCs w:val="20"/>
        </w:rPr>
      </w:pPr>
      <w:r w:rsidRPr="00BA1B7B">
        <w:rPr>
          <w:rFonts w:ascii="Arial" w:hAnsi="Arial" w:cs="Arial"/>
          <w:sz w:val="20"/>
          <w:szCs w:val="20"/>
        </w:rPr>
        <w:t xml:space="preserve">Department of Health and Human Services Victoria (2019) Better Health Channel </w:t>
      </w:r>
      <w:hyperlink r:id="rId61" w:history="1">
        <w:r w:rsidRPr="00BA1B7B">
          <w:rPr>
            <w:rStyle w:val="Hyperlink"/>
            <w:rFonts w:ascii="Arial" w:hAnsi="Arial" w:cs="Arial"/>
            <w:color w:val="auto"/>
            <w:sz w:val="20"/>
            <w:szCs w:val="20"/>
          </w:rPr>
          <w:t>https://www.betterhealth.vic.gov.au/health/healthyliving/folate-for-pregnant-women</w:t>
        </w:r>
      </w:hyperlink>
    </w:p>
    <w:p w14:paraId="0C68334D" w14:textId="77777777" w:rsidR="00823C57" w:rsidRPr="00BA1B7B" w:rsidRDefault="00823C57" w:rsidP="00823C57">
      <w:pPr>
        <w:spacing w:line="276" w:lineRule="auto"/>
        <w:rPr>
          <w:rFonts w:ascii="Arial" w:hAnsi="Arial" w:cs="Arial"/>
          <w:sz w:val="20"/>
          <w:szCs w:val="20"/>
        </w:rPr>
      </w:pPr>
    </w:p>
    <w:p w14:paraId="1484D516"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Department of Health and Human Services Victoria (2019) Better Health Channel</w:t>
      </w:r>
    </w:p>
    <w:p w14:paraId="46EF64BD" w14:textId="77777777" w:rsidR="00823C57" w:rsidRPr="00BA1B7B" w:rsidRDefault="00A97F97" w:rsidP="00823C57">
      <w:pPr>
        <w:pStyle w:val="ListParagraph"/>
        <w:spacing w:line="276" w:lineRule="auto"/>
        <w:rPr>
          <w:rFonts w:ascii="Arial" w:hAnsi="Arial" w:cs="Arial"/>
          <w:sz w:val="20"/>
          <w:szCs w:val="20"/>
          <w:u w:val="single"/>
        </w:rPr>
      </w:pPr>
      <w:hyperlink r:id="rId62" w:history="1">
        <w:r w:rsidR="00823C57" w:rsidRPr="00BA1B7B">
          <w:rPr>
            <w:rStyle w:val="Hyperlink"/>
            <w:rFonts w:ascii="Arial" w:hAnsi="Arial" w:cs="Arial"/>
            <w:color w:val="auto"/>
            <w:sz w:val="20"/>
            <w:szCs w:val="20"/>
          </w:rPr>
          <w:t>https://www.betterhealth.vic.gov.au/health/healthyliving/pregnancy-and-diet</w:t>
        </w:r>
      </w:hyperlink>
    </w:p>
    <w:p w14:paraId="68F885E4" w14:textId="77777777" w:rsidR="00823C57" w:rsidRPr="00BA1B7B" w:rsidRDefault="00823C57" w:rsidP="00823C57">
      <w:pPr>
        <w:spacing w:line="276" w:lineRule="auto"/>
        <w:rPr>
          <w:rFonts w:ascii="Arial" w:hAnsi="Arial" w:cs="Arial"/>
          <w:sz w:val="20"/>
          <w:szCs w:val="20"/>
        </w:rPr>
      </w:pPr>
    </w:p>
    <w:p w14:paraId="213576DD"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Department of Health and Human Services Victoria (2019) Better Health Channel</w:t>
      </w:r>
    </w:p>
    <w:p w14:paraId="1B1DB981" w14:textId="77777777" w:rsidR="00823C57" w:rsidRPr="00BA1B7B" w:rsidRDefault="00A97F97" w:rsidP="00823C57">
      <w:pPr>
        <w:pStyle w:val="ListParagraph"/>
        <w:spacing w:line="276" w:lineRule="auto"/>
        <w:rPr>
          <w:rFonts w:ascii="Arial" w:hAnsi="Arial" w:cs="Arial"/>
          <w:sz w:val="20"/>
          <w:szCs w:val="20"/>
        </w:rPr>
      </w:pPr>
      <w:hyperlink r:id="rId63" w:history="1">
        <w:r w:rsidR="00823C57" w:rsidRPr="00BA1B7B">
          <w:rPr>
            <w:rStyle w:val="Hyperlink"/>
            <w:rFonts w:ascii="Arial" w:hAnsi="Arial" w:cs="Arial"/>
            <w:color w:val="auto"/>
            <w:sz w:val="20"/>
            <w:szCs w:val="20"/>
          </w:rPr>
          <w:t>https://www.betterhealth.vic.gov.au/health/healthyliving/pregnancy-medication-drugs-and-alcohol</w:t>
        </w:r>
      </w:hyperlink>
    </w:p>
    <w:p w14:paraId="5E624CB3" w14:textId="77777777" w:rsidR="00823C57" w:rsidRPr="00BA1B7B" w:rsidRDefault="00823C57" w:rsidP="00823C57">
      <w:pPr>
        <w:spacing w:line="276" w:lineRule="auto"/>
        <w:rPr>
          <w:rFonts w:ascii="Arial" w:hAnsi="Arial" w:cs="Arial"/>
          <w:sz w:val="20"/>
          <w:szCs w:val="20"/>
        </w:rPr>
      </w:pPr>
    </w:p>
    <w:p w14:paraId="7C2549C3"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Guidelines for Shared Maternity Care Affiliates 2015, the Royal Women’s Hospital,</w:t>
      </w:r>
    </w:p>
    <w:p w14:paraId="3D8BBCC5" w14:textId="77777777" w:rsidR="00823C57" w:rsidRPr="00BA1B7B" w:rsidRDefault="00823C57" w:rsidP="00823C57">
      <w:pPr>
        <w:pStyle w:val="ListParagraph"/>
        <w:spacing w:line="276" w:lineRule="auto"/>
        <w:rPr>
          <w:rFonts w:ascii="Arial" w:hAnsi="Arial" w:cs="Arial"/>
          <w:sz w:val="20"/>
          <w:szCs w:val="20"/>
        </w:rPr>
      </w:pPr>
      <w:r w:rsidRPr="00BA1B7B">
        <w:rPr>
          <w:rFonts w:ascii="Arial" w:hAnsi="Arial" w:cs="Arial"/>
          <w:sz w:val="20"/>
          <w:szCs w:val="20"/>
        </w:rPr>
        <w:t>Mercy Public Hospitals Incorporated and Western Health, Melbourne, 2015.</w:t>
      </w:r>
    </w:p>
    <w:p w14:paraId="34D5A004" w14:textId="77777777" w:rsidR="00823C57" w:rsidRPr="00BA1B7B" w:rsidRDefault="00A97F97" w:rsidP="00823C57">
      <w:pPr>
        <w:pStyle w:val="ListParagraph"/>
        <w:spacing w:line="276" w:lineRule="auto"/>
        <w:rPr>
          <w:rFonts w:ascii="Arial" w:hAnsi="Arial" w:cs="Arial"/>
          <w:sz w:val="20"/>
          <w:szCs w:val="20"/>
        </w:rPr>
      </w:pPr>
      <w:hyperlink r:id="rId64" w:history="1">
        <w:r w:rsidR="00823C57" w:rsidRPr="00BA1B7B">
          <w:rPr>
            <w:rStyle w:val="Hyperlink"/>
            <w:rFonts w:ascii="Arial" w:hAnsi="Arial" w:cs="Arial"/>
            <w:color w:val="auto"/>
            <w:sz w:val="20"/>
            <w:szCs w:val="20"/>
          </w:rPr>
          <w:t>https://www.thewomens.org.au/health-professionals/for-gps/shared-maternity-care/shared-care-guidelines</w:t>
        </w:r>
      </w:hyperlink>
    </w:p>
    <w:p w14:paraId="02689A1D" w14:textId="77777777" w:rsidR="00823C57" w:rsidRPr="00BA1B7B" w:rsidRDefault="00823C57" w:rsidP="00823C57">
      <w:pPr>
        <w:pStyle w:val="ListParagraph"/>
        <w:spacing w:line="276" w:lineRule="auto"/>
        <w:rPr>
          <w:rFonts w:ascii="Arial" w:hAnsi="Arial" w:cs="Arial"/>
          <w:sz w:val="20"/>
          <w:szCs w:val="20"/>
        </w:rPr>
      </w:pPr>
      <w:r w:rsidRPr="00BA1B7B">
        <w:rPr>
          <w:rFonts w:ascii="Arial" w:hAnsi="Arial" w:cs="Arial"/>
          <w:sz w:val="20"/>
          <w:szCs w:val="20"/>
        </w:rPr>
        <w:lastRenderedPageBreak/>
        <w:t> </w:t>
      </w:r>
    </w:p>
    <w:p w14:paraId="01ED0A27"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National Health and Medical Research Council (2020) Australian Dietary Guidelines: Healthy Eating During your Pregnancy. Canberra: Australian Government Department of Health and Aging.</w:t>
      </w:r>
    </w:p>
    <w:p w14:paraId="2C3C4D84" w14:textId="0D3B05CD" w:rsidR="00823C57" w:rsidRPr="00BA1B7B" w:rsidRDefault="00A97F97" w:rsidP="00A83453">
      <w:pPr>
        <w:pStyle w:val="ListParagraph"/>
        <w:spacing w:line="276" w:lineRule="auto"/>
        <w:rPr>
          <w:rFonts w:ascii="Arial" w:hAnsi="Arial" w:cs="Arial"/>
          <w:sz w:val="20"/>
          <w:szCs w:val="20"/>
        </w:rPr>
      </w:pPr>
      <w:hyperlink r:id="rId65" w:history="1">
        <w:r w:rsidR="00823C57" w:rsidRPr="00BA1B7B">
          <w:rPr>
            <w:rStyle w:val="Hyperlink"/>
            <w:rFonts w:ascii="Arial" w:hAnsi="Arial" w:cs="Arial"/>
            <w:color w:val="auto"/>
            <w:sz w:val="20"/>
            <w:szCs w:val="20"/>
          </w:rPr>
          <w:t>https://www.eatforhealth.gov.au/sites/default/files/content/The%20Guidelines/n55h_healthy_eating_during_pregnancy_0_0.pdf</w:t>
        </w:r>
      </w:hyperlink>
    </w:p>
    <w:p w14:paraId="207694F3" w14:textId="36D03AD9"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Quit Victoria (2020) The risks of Smoking while Pregnant</w:t>
      </w:r>
    </w:p>
    <w:p w14:paraId="6D6E5565" w14:textId="77777777" w:rsidR="00A83453" w:rsidRPr="00BA1B7B" w:rsidRDefault="00A83453" w:rsidP="00A83453">
      <w:pPr>
        <w:pStyle w:val="ListParagraph"/>
        <w:spacing w:line="276" w:lineRule="auto"/>
        <w:rPr>
          <w:rFonts w:ascii="Arial" w:hAnsi="Arial" w:cs="Arial"/>
          <w:sz w:val="20"/>
          <w:szCs w:val="20"/>
        </w:rPr>
      </w:pPr>
    </w:p>
    <w:p w14:paraId="003CF982"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https://www.quit.org.au/articles/the-risks-of-smoking-while-pregnant/</w:t>
      </w:r>
    </w:p>
    <w:p w14:paraId="3E3CB1CA" w14:textId="77777777" w:rsidR="00823C57" w:rsidRPr="00BA1B7B" w:rsidRDefault="00823C57" w:rsidP="00823C57">
      <w:pPr>
        <w:spacing w:line="276" w:lineRule="auto"/>
        <w:rPr>
          <w:rFonts w:ascii="Arial" w:hAnsi="Arial" w:cs="Arial"/>
          <w:sz w:val="20"/>
          <w:szCs w:val="20"/>
        </w:rPr>
      </w:pPr>
    </w:p>
    <w:p w14:paraId="397D69C0"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 xml:space="preserve">The Royal Australian and New Zealand College of Obstetricians and Gynaecologists (2020) Exercise During Pregnancy – Guidelines: </w:t>
      </w:r>
      <w:hyperlink r:id="rId66" w:history="1">
        <w:r w:rsidRPr="00BA1B7B">
          <w:rPr>
            <w:rStyle w:val="Hyperlink"/>
            <w:rFonts w:ascii="Arial" w:hAnsi="Arial" w:cs="Arial"/>
            <w:color w:val="auto"/>
            <w:sz w:val="20"/>
            <w:szCs w:val="20"/>
          </w:rPr>
          <w:t>https://ranzcog.edu.au/RANZCOG_SITE/media/RANZCOG-MEDIA/Women%27s%20Health/Statement%20and%20guidelines/Clinical-Obstetrics/Exercise-during-pregnancy-(C-Obs-62).pdf?ext=.pdf</w:t>
        </w:r>
      </w:hyperlink>
    </w:p>
    <w:p w14:paraId="1B4ECB09" w14:textId="77777777" w:rsidR="00823C57" w:rsidRPr="00BA1B7B" w:rsidRDefault="00823C57" w:rsidP="00823C57">
      <w:pPr>
        <w:spacing w:line="276" w:lineRule="auto"/>
        <w:rPr>
          <w:rFonts w:ascii="Arial" w:hAnsi="Arial" w:cs="Arial"/>
          <w:sz w:val="20"/>
          <w:szCs w:val="20"/>
        </w:rPr>
      </w:pPr>
    </w:p>
    <w:p w14:paraId="38CFDB68"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 xml:space="preserve">The Royal Australian and New Zealand College of Obstetricians and Gynaecologists (2019) Routine antenatal assessment in the absence of pregnancy complications: </w:t>
      </w:r>
      <w:hyperlink r:id="rId67" w:history="1">
        <w:r w:rsidRPr="00BA1B7B">
          <w:rPr>
            <w:rStyle w:val="Hyperlink"/>
            <w:rFonts w:ascii="Arial" w:hAnsi="Arial" w:cs="Arial"/>
            <w:color w:val="auto"/>
            <w:sz w:val="20"/>
            <w:szCs w:val="20"/>
          </w:rPr>
          <w:t>https://ranzcog.edu.au/RANZCOG_SITE/media/RANZCOG-MEDIA/Women%27s%20Health/Statement%20and%20guidelines/Clinical-Obstetrics/Routine-antenatal-assessment-in-the-absence-of-pregnancy-complications-(C-Obs-3b)_2.pdf?ext=.pdf</w:t>
        </w:r>
      </w:hyperlink>
    </w:p>
    <w:p w14:paraId="1920F508" w14:textId="77777777" w:rsidR="00823C57" w:rsidRPr="00BA1B7B" w:rsidRDefault="00823C57" w:rsidP="00823C57">
      <w:pPr>
        <w:spacing w:line="276" w:lineRule="auto"/>
        <w:rPr>
          <w:rFonts w:ascii="Arial" w:hAnsi="Arial" w:cs="Arial"/>
          <w:sz w:val="20"/>
          <w:szCs w:val="20"/>
        </w:rPr>
      </w:pPr>
    </w:p>
    <w:p w14:paraId="2064FBFD" w14:textId="77777777" w:rsidR="00823C57" w:rsidRPr="00BA1B7B" w:rsidRDefault="00823C57" w:rsidP="004A22FD">
      <w:pPr>
        <w:pStyle w:val="ListParagraph"/>
        <w:numPr>
          <w:ilvl w:val="0"/>
          <w:numId w:val="13"/>
        </w:numPr>
        <w:spacing w:line="276" w:lineRule="auto"/>
        <w:rPr>
          <w:rFonts w:ascii="Arial" w:hAnsi="Arial" w:cs="Arial"/>
          <w:sz w:val="20"/>
          <w:szCs w:val="20"/>
        </w:rPr>
      </w:pPr>
      <w:bookmarkStart w:id="41" w:name="_Hlk48207165"/>
      <w:r w:rsidRPr="00BA1B7B">
        <w:rPr>
          <w:rFonts w:ascii="Arial" w:hAnsi="Arial" w:cs="Arial"/>
          <w:sz w:val="20"/>
          <w:szCs w:val="20"/>
        </w:rPr>
        <w:t xml:space="preserve">Victorian Clinical Genetic Services: </w:t>
      </w:r>
      <w:hyperlink r:id="rId68" w:history="1">
        <w:r w:rsidRPr="00BA1B7B">
          <w:rPr>
            <w:rStyle w:val="Hyperlink"/>
            <w:rFonts w:ascii="Arial" w:hAnsi="Arial" w:cs="Arial"/>
            <w:color w:val="auto"/>
            <w:sz w:val="20"/>
            <w:szCs w:val="20"/>
          </w:rPr>
          <w:t>https://www.vcgs.org.au/tests</w:t>
        </w:r>
      </w:hyperlink>
    </w:p>
    <w:bookmarkEnd w:id="41"/>
    <w:p w14:paraId="5D23E8B5" w14:textId="77777777" w:rsidR="00823C57" w:rsidRPr="00BA1B7B" w:rsidRDefault="00823C57" w:rsidP="00823C57">
      <w:pPr>
        <w:spacing w:line="276" w:lineRule="auto"/>
        <w:rPr>
          <w:rFonts w:ascii="Arial" w:hAnsi="Arial" w:cs="Arial"/>
          <w:sz w:val="20"/>
          <w:szCs w:val="20"/>
        </w:rPr>
      </w:pPr>
    </w:p>
    <w:p w14:paraId="45A352C0"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Eastern Health Website - Midwifery Care: https://www.easternhealth.org.au/images/services/midwife_care.pdf</w:t>
      </w:r>
    </w:p>
    <w:p w14:paraId="25AA7847" w14:textId="77777777" w:rsidR="00823C57" w:rsidRPr="00BA1B7B" w:rsidRDefault="00823C57" w:rsidP="00823C57">
      <w:pPr>
        <w:spacing w:line="276" w:lineRule="auto"/>
        <w:rPr>
          <w:rFonts w:ascii="Arial" w:hAnsi="Arial" w:cs="Arial"/>
          <w:sz w:val="20"/>
          <w:szCs w:val="20"/>
        </w:rPr>
      </w:pPr>
    </w:p>
    <w:p w14:paraId="17D4FE2F"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Midwifery Group Practice - Midwifery Group Practice (MGP) https://www.easternhealth.org.au/images/services/midwifery_group_practice.pdf</w:t>
      </w:r>
    </w:p>
    <w:p w14:paraId="61280200" w14:textId="77777777" w:rsidR="00823C57" w:rsidRPr="00BA1B7B" w:rsidRDefault="00823C57" w:rsidP="00823C57">
      <w:pPr>
        <w:spacing w:line="276" w:lineRule="auto"/>
        <w:rPr>
          <w:rFonts w:ascii="Arial" w:hAnsi="Arial" w:cs="Arial"/>
          <w:sz w:val="20"/>
          <w:szCs w:val="20"/>
        </w:rPr>
      </w:pPr>
    </w:p>
    <w:p w14:paraId="56E1AB4A"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GP Shared Care:</w:t>
      </w:r>
      <w:hyperlink r:id="rId69" w:anchor="what-about-my-care-after-the-birth" w:history="1">
        <w:r w:rsidRPr="00BA1B7B">
          <w:rPr>
            <w:rStyle w:val="Hyperlink"/>
            <w:rFonts w:ascii="Arial" w:hAnsi="Arial" w:cs="Arial"/>
            <w:color w:val="auto"/>
            <w:sz w:val="20"/>
            <w:szCs w:val="20"/>
          </w:rPr>
          <w:t>https://www.easternhealth.org.au/services/maternity-services/i-am-pregnant/first-14-weeks/pregnancy-care-options/shared-maternity-care-with-your-gp/item/139#what-about-my-care-after-the-birth</w:t>
        </w:r>
      </w:hyperlink>
    </w:p>
    <w:p w14:paraId="2A75284D" w14:textId="77777777" w:rsidR="00823C57" w:rsidRPr="00BA1B7B" w:rsidRDefault="00823C57" w:rsidP="00823C57">
      <w:pPr>
        <w:spacing w:line="276" w:lineRule="auto"/>
        <w:rPr>
          <w:rFonts w:ascii="Arial" w:hAnsi="Arial" w:cs="Arial"/>
          <w:sz w:val="20"/>
          <w:szCs w:val="20"/>
        </w:rPr>
      </w:pPr>
    </w:p>
    <w:p w14:paraId="6B97D375"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t>Department of Health and Human Services Victoria (2019) Capability Framework for Victorian Maternity and Newborn Services. Victoria.</w:t>
      </w:r>
    </w:p>
    <w:p w14:paraId="3A982644" w14:textId="77777777" w:rsidR="00823C57" w:rsidRPr="00BA1B7B" w:rsidRDefault="00A97F97" w:rsidP="00823C57">
      <w:pPr>
        <w:pStyle w:val="ListParagraph"/>
        <w:spacing w:line="276" w:lineRule="auto"/>
        <w:rPr>
          <w:rFonts w:ascii="Arial" w:hAnsi="Arial" w:cs="Arial"/>
          <w:sz w:val="20"/>
          <w:szCs w:val="20"/>
        </w:rPr>
      </w:pPr>
      <w:hyperlink r:id="rId70" w:history="1">
        <w:r w:rsidR="00823C57" w:rsidRPr="00BA1B7B">
          <w:rPr>
            <w:rStyle w:val="Hyperlink"/>
            <w:rFonts w:ascii="Arial" w:hAnsi="Arial" w:cs="Arial"/>
            <w:color w:val="auto"/>
            <w:sz w:val="20"/>
            <w:szCs w:val="20"/>
          </w:rPr>
          <w:t>https://www2.health.vic.gov.au/hospitals-and-health-services/patient-care/perinatal-reproductive/maternity-newborn-services/maternity-newborn-care</w:t>
        </w:r>
      </w:hyperlink>
    </w:p>
    <w:p w14:paraId="7A00D4CB" w14:textId="77777777" w:rsidR="00823C57" w:rsidRPr="00BA1B7B" w:rsidRDefault="00823C57" w:rsidP="00823C57">
      <w:pPr>
        <w:spacing w:line="276" w:lineRule="auto"/>
        <w:rPr>
          <w:rFonts w:ascii="Arial" w:hAnsi="Arial" w:cs="Arial"/>
          <w:b/>
          <w:bCs/>
          <w:sz w:val="20"/>
          <w:szCs w:val="20"/>
        </w:rPr>
      </w:pPr>
    </w:p>
    <w:p w14:paraId="0CF064A3" w14:textId="77777777" w:rsidR="00823C57" w:rsidRPr="00BA1B7B" w:rsidRDefault="00823C57" w:rsidP="004A22FD">
      <w:pPr>
        <w:pStyle w:val="ListParagraph"/>
        <w:numPr>
          <w:ilvl w:val="0"/>
          <w:numId w:val="13"/>
        </w:numPr>
        <w:spacing w:line="276" w:lineRule="auto"/>
        <w:rPr>
          <w:rFonts w:ascii="Arial" w:hAnsi="Arial" w:cs="Arial"/>
          <w:sz w:val="20"/>
          <w:szCs w:val="20"/>
        </w:rPr>
      </w:pPr>
      <w:r w:rsidRPr="00BA1B7B">
        <w:rPr>
          <w:rFonts w:ascii="Arial" w:hAnsi="Arial" w:cs="Arial"/>
          <w:sz w:val="20"/>
          <w:szCs w:val="20"/>
        </w:rPr>
        <w:lastRenderedPageBreak/>
        <w:t xml:space="preserve">Eastern Health Website: </w:t>
      </w:r>
      <w:hyperlink r:id="rId71" w:history="1">
        <w:r w:rsidRPr="00BA1B7B">
          <w:rPr>
            <w:rStyle w:val="Hyperlink"/>
            <w:rFonts w:ascii="Arial" w:hAnsi="Arial" w:cs="Arial"/>
            <w:color w:val="auto"/>
            <w:sz w:val="20"/>
            <w:szCs w:val="20"/>
          </w:rPr>
          <w:t>https://www.easternhealth.org.au/services/maternity-services/i-am-pregnant/maternity-booking-form</w:t>
        </w:r>
      </w:hyperlink>
    </w:p>
    <w:p w14:paraId="7D518279" w14:textId="77777777" w:rsidR="00823C57" w:rsidRPr="00BA1B7B" w:rsidRDefault="00823C57" w:rsidP="004A22FD">
      <w:pPr>
        <w:pStyle w:val="ListParagraph"/>
        <w:numPr>
          <w:ilvl w:val="0"/>
          <w:numId w:val="13"/>
        </w:numPr>
        <w:spacing w:line="276" w:lineRule="auto"/>
        <w:rPr>
          <w:rFonts w:ascii="Arial" w:hAnsi="Arial" w:cs="Arial"/>
          <w:b/>
          <w:bCs/>
          <w:sz w:val="20"/>
          <w:szCs w:val="20"/>
        </w:rPr>
      </w:pPr>
      <w:r w:rsidRPr="00BA1B7B">
        <w:rPr>
          <w:rFonts w:ascii="Arial" w:hAnsi="Arial" w:cs="Arial"/>
          <w:b/>
          <w:bCs/>
          <w:sz w:val="20"/>
          <w:szCs w:val="20"/>
        </w:rPr>
        <w:br w:type="page"/>
      </w:r>
    </w:p>
    <w:p w14:paraId="259AF4E1" w14:textId="193FE2FD" w:rsidR="00823C57" w:rsidRPr="00BA1B7B" w:rsidRDefault="00823C57"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42" w:name="_Toc120614293"/>
      <w:r w:rsidRPr="00BA1B7B">
        <w:rPr>
          <w:rFonts w:ascii="Arial" w:eastAsia="Times New Roman" w:hAnsi="Arial" w:cs="Arial"/>
          <w:b/>
          <w:bCs/>
          <w:sz w:val="20"/>
          <w:szCs w:val="20"/>
          <w:lang w:eastAsia="en-AU"/>
        </w:rPr>
        <w:lastRenderedPageBreak/>
        <w:t>5.0 Pregnancy Investigations</w:t>
      </w:r>
      <w:bookmarkEnd w:id="42"/>
    </w:p>
    <w:p w14:paraId="5C8F69E0" w14:textId="7A8A6B2B" w:rsidR="00823C57" w:rsidRPr="00BA1B7B" w:rsidRDefault="00823C57"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43" w:name="_Toc120614294"/>
      <w:r w:rsidRPr="00BA1B7B">
        <w:rPr>
          <w:rFonts w:ascii="Arial" w:eastAsia="Times New Roman" w:hAnsi="Arial" w:cs="Arial"/>
          <w:b/>
          <w:bCs/>
          <w:sz w:val="20"/>
          <w:szCs w:val="20"/>
          <w:lang w:eastAsia="en-AU"/>
        </w:rPr>
        <w:t>5.1 Calculating Estimated Due Date</w:t>
      </w:r>
      <w:bookmarkEnd w:id="43"/>
    </w:p>
    <w:p w14:paraId="04DDB010"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The estimated due date can vary between the different means of calculation, ie: last menstrual period (LMP) dates versus ultrasound suggested date. Selection of the better estimate of the date of birth is based on the following criteria:</w:t>
      </w:r>
    </w:p>
    <w:p w14:paraId="47B808B0"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 If the LMP was certain and menstruation regular, compare the LMP estimate to the ultrasound estimate:</w:t>
      </w:r>
    </w:p>
    <w:p w14:paraId="7A322E96" w14:textId="77777777" w:rsidR="00823C57" w:rsidRPr="00BA1B7B" w:rsidRDefault="00823C57" w:rsidP="004A22FD">
      <w:pPr>
        <w:pStyle w:val="ListParagraph"/>
        <w:numPr>
          <w:ilvl w:val="0"/>
          <w:numId w:val="18"/>
        </w:numPr>
        <w:spacing w:line="276" w:lineRule="auto"/>
        <w:rPr>
          <w:rFonts w:ascii="Arial" w:hAnsi="Arial" w:cs="Arial"/>
          <w:sz w:val="20"/>
          <w:szCs w:val="20"/>
        </w:rPr>
      </w:pPr>
      <w:r w:rsidRPr="00BA1B7B">
        <w:rPr>
          <w:rFonts w:ascii="Arial" w:hAnsi="Arial" w:cs="Arial"/>
          <w:sz w:val="20"/>
          <w:szCs w:val="20"/>
        </w:rPr>
        <w:t>ultrasound performed between 6- and 13-weeks’ gestation: if the two dates differ by 5 days or less, use the LMP estimate; if the dates differ by more than 5 days, use the ultrasound estimate</w:t>
      </w:r>
    </w:p>
    <w:p w14:paraId="72322AD9" w14:textId="77777777" w:rsidR="00823C57" w:rsidRPr="00BA1B7B" w:rsidRDefault="00823C57" w:rsidP="004A22FD">
      <w:pPr>
        <w:pStyle w:val="ListParagraph"/>
        <w:numPr>
          <w:ilvl w:val="0"/>
          <w:numId w:val="18"/>
        </w:numPr>
        <w:spacing w:line="276" w:lineRule="auto"/>
        <w:rPr>
          <w:rFonts w:ascii="Arial" w:hAnsi="Arial" w:cs="Arial"/>
          <w:sz w:val="20"/>
          <w:szCs w:val="20"/>
        </w:rPr>
      </w:pPr>
      <w:r w:rsidRPr="00BA1B7B">
        <w:rPr>
          <w:rFonts w:ascii="Arial" w:hAnsi="Arial" w:cs="Arial"/>
          <w:sz w:val="20"/>
          <w:szCs w:val="20"/>
        </w:rPr>
        <w:t>ultrasound performed between 13- and 24-weeks’ gestation: if the two dates differ by 10 days or less, use the LMP estimate; if the dates differ by more than 10 days, use the ultrasound estimate</w:t>
      </w:r>
    </w:p>
    <w:p w14:paraId="09A2B880" w14:textId="77777777" w:rsidR="00823C57" w:rsidRPr="00BA1B7B" w:rsidRDefault="00823C57" w:rsidP="004A22FD">
      <w:pPr>
        <w:pStyle w:val="ListParagraph"/>
        <w:numPr>
          <w:ilvl w:val="0"/>
          <w:numId w:val="18"/>
        </w:numPr>
        <w:spacing w:line="276" w:lineRule="auto"/>
        <w:rPr>
          <w:rFonts w:ascii="Arial" w:hAnsi="Arial" w:cs="Arial"/>
          <w:sz w:val="20"/>
          <w:szCs w:val="20"/>
        </w:rPr>
      </w:pPr>
      <w:r w:rsidRPr="00BA1B7B">
        <w:rPr>
          <w:rFonts w:ascii="Arial" w:hAnsi="Arial" w:cs="Arial"/>
          <w:sz w:val="20"/>
          <w:szCs w:val="20"/>
        </w:rPr>
        <w:t>if the ultrasound was performed between 6- and 24-weeks pregnancy and the LMP was not certain or menstruation irregular, use the ultrasound estimate</w:t>
      </w:r>
    </w:p>
    <w:p w14:paraId="428CCF1B" w14:textId="77777777" w:rsidR="00823C57" w:rsidRPr="00BA1B7B" w:rsidRDefault="00823C57" w:rsidP="004A22FD">
      <w:pPr>
        <w:pStyle w:val="ListParagraph"/>
        <w:numPr>
          <w:ilvl w:val="0"/>
          <w:numId w:val="18"/>
        </w:numPr>
        <w:spacing w:line="276" w:lineRule="auto"/>
        <w:rPr>
          <w:rFonts w:ascii="Arial" w:hAnsi="Arial" w:cs="Arial"/>
          <w:b/>
          <w:bCs/>
          <w:sz w:val="20"/>
          <w:szCs w:val="20"/>
        </w:rPr>
      </w:pPr>
      <w:r w:rsidRPr="00BA1B7B">
        <w:rPr>
          <w:rFonts w:ascii="Arial" w:hAnsi="Arial" w:cs="Arial"/>
          <w:sz w:val="20"/>
          <w:szCs w:val="20"/>
        </w:rPr>
        <w:t>if the LMP was certain and menstruation regular and no ultrasound was performed between 6- and 24-weeks pregnancy (or none with a heartbeat), use the LMP estimate.</w:t>
      </w:r>
    </w:p>
    <w:bookmarkStart w:id="44" w:name="_Hlk48202127"/>
    <w:p w14:paraId="2EF21906" w14:textId="77777777" w:rsidR="00823C57" w:rsidRPr="00BA1B7B" w:rsidRDefault="00823C57" w:rsidP="00823C57">
      <w:pPr>
        <w:spacing w:line="276" w:lineRule="auto"/>
        <w:rPr>
          <w:rFonts w:ascii="Arial" w:hAnsi="Arial" w:cs="Arial"/>
          <w:sz w:val="20"/>
          <w:szCs w:val="20"/>
        </w:rPr>
      </w:pPr>
      <w:r w:rsidRPr="00BA1B7B">
        <w:fldChar w:fldCharType="begin"/>
      </w:r>
      <w:r w:rsidRPr="00BA1B7B">
        <w:rPr>
          <w:rFonts w:ascii="Arial" w:hAnsi="Arial" w:cs="Arial"/>
          <w:sz w:val="20"/>
          <w:szCs w:val="20"/>
        </w:rPr>
        <w:instrText xml:space="preserve"> HYPERLINK "https://www.health.gov.au/resources/pregnancy-care-guidelines/part-d-clinical-assessments/gestational-age" </w:instrText>
      </w:r>
      <w:r w:rsidRPr="00BA1B7B">
        <w:fldChar w:fldCharType="separate"/>
      </w:r>
      <w:r w:rsidRPr="00BA1B7B">
        <w:rPr>
          <w:rStyle w:val="Hyperlink"/>
          <w:rFonts w:ascii="Arial" w:hAnsi="Arial" w:cs="Arial"/>
          <w:b/>
          <w:bCs/>
          <w:color w:val="auto"/>
          <w:sz w:val="20"/>
          <w:szCs w:val="20"/>
        </w:rPr>
        <w:t>https://www.health.gov.au/resources/pregnancy-care-guidelines/part-d-clinical-assessments/gestational-age</w:t>
      </w:r>
      <w:r w:rsidRPr="00BA1B7B">
        <w:rPr>
          <w:rStyle w:val="Hyperlink"/>
          <w:rFonts w:ascii="Arial" w:hAnsi="Arial" w:cs="Arial"/>
          <w:b/>
          <w:bCs/>
          <w:color w:val="auto"/>
          <w:sz w:val="20"/>
          <w:szCs w:val="20"/>
        </w:rPr>
        <w:fldChar w:fldCharType="end"/>
      </w:r>
      <w:r w:rsidRPr="00BA1B7B">
        <w:rPr>
          <w:rFonts w:ascii="Arial" w:hAnsi="Arial" w:cs="Arial"/>
          <w:b/>
          <w:bCs/>
          <w:sz w:val="20"/>
          <w:szCs w:val="20"/>
        </w:rPr>
        <w:t xml:space="preserve"> </w:t>
      </w:r>
    </w:p>
    <w:p w14:paraId="18B6C955"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Online Due Date Calculator:</w:t>
      </w:r>
    </w:p>
    <w:p w14:paraId="375686AA" w14:textId="77777777" w:rsidR="00823C57" w:rsidRPr="00BA1B7B" w:rsidRDefault="00A97F97" w:rsidP="00823C57">
      <w:pPr>
        <w:spacing w:line="276" w:lineRule="auto"/>
        <w:rPr>
          <w:rFonts w:ascii="Arial" w:hAnsi="Arial" w:cs="Arial"/>
          <w:b/>
          <w:bCs/>
          <w:sz w:val="20"/>
          <w:szCs w:val="20"/>
        </w:rPr>
      </w:pPr>
      <w:hyperlink r:id="rId72" w:history="1">
        <w:r w:rsidR="00823C57" w:rsidRPr="00BA1B7B">
          <w:rPr>
            <w:rStyle w:val="Hyperlink"/>
            <w:rFonts w:ascii="Arial" w:hAnsi="Arial" w:cs="Arial"/>
            <w:b/>
            <w:bCs/>
            <w:color w:val="auto"/>
            <w:sz w:val="20"/>
            <w:szCs w:val="20"/>
          </w:rPr>
          <w:t>https://www.pregnancybirthbaby.org.au/due-date-calculator</w:t>
        </w:r>
      </w:hyperlink>
    </w:p>
    <w:bookmarkEnd w:id="44"/>
    <w:p w14:paraId="0D78F7DC" w14:textId="77777777" w:rsidR="00823C57" w:rsidRPr="00BA1B7B" w:rsidRDefault="00823C57" w:rsidP="00823C57">
      <w:pPr>
        <w:spacing w:line="276" w:lineRule="auto"/>
        <w:rPr>
          <w:rFonts w:ascii="Arial" w:hAnsi="Arial" w:cs="Arial"/>
          <w:b/>
          <w:bCs/>
          <w:sz w:val="20"/>
          <w:szCs w:val="20"/>
        </w:rPr>
      </w:pPr>
    </w:p>
    <w:p w14:paraId="74C96D10" w14:textId="028E60B1" w:rsidR="00823C57" w:rsidRPr="00BA1B7B" w:rsidRDefault="00823C57"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45" w:name="_Toc120614295"/>
      <w:r w:rsidRPr="00BA1B7B">
        <w:rPr>
          <w:rFonts w:ascii="Arial" w:eastAsia="Times New Roman" w:hAnsi="Arial" w:cs="Arial"/>
          <w:b/>
          <w:bCs/>
          <w:sz w:val="20"/>
          <w:szCs w:val="20"/>
          <w:lang w:eastAsia="en-AU"/>
        </w:rPr>
        <w:t>5.2 First trimester</w:t>
      </w:r>
      <w:bookmarkEnd w:id="45"/>
    </w:p>
    <w:p w14:paraId="6E69FD37" w14:textId="77777777" w:rsidR="00823C57" w:rsidRPr="00BA1B7B" w:rsidRDefault="00823C57" w:rsidP="00823C57">
      <w:pPr>
        <w:pStyle w:val="NoSpacing"/>
        <w:spacing w:line="276" w:lineRule="auto"/>
        <w:rPr>
          <w:rFonts w:ascii="Arial" w:hAnsi="Arial" w:cs="Arial"/>
          <w:sz w:val="20"/>
          <w:szCs w:val="20"/>
        </w:rPr>
      </w:pPr>
      <w:r w:rsidRPr="00BA1B7B">
        <w:rPr>
          <w:rFonts w:ascii="Arial" w:hAnsi="Arial" w:cs="Arial"/>
          <w:sz w:val="20"/>
          <w:szCs w:val="20"/>
        </w:rPr>
        <w:t xml:space="preserve">This section provides information on routine antenatal screening and investigations that are recognised and recommended by Eastern Health.  </w:t>
      </w:r>
    </w:p>
    <w:p w14:paraId="7324114D" w14:textId="77777777" w:rsidR="00823C57" w:rsidRPr="00BA1B7B" w:rsidRDefault="00823C57" w:rsidP="00823C57">
      <w:pPr>
        <w:pStyle w:val="NoSpacing"/>
        <w:spacing w:line="276" w:lineRule="auto"/>
        <w:rPr>
          <w:rFonts w:ascii="Arial" w:hAnsi="Arial" w:cs="Arial"/>
          <w:sz w:val="20"/>
          <w:szCs w:val="20"/>
        </w:rPr>
      </w:pPr>
      <w:r w:rsidRPr="00BA1B7B">
        <w:rPr>
          <w:rFonts w:ascii="Arial" w:hAnsi="Arial" w:cs="Arial"/>
          <w:sz w:val="20"/>
          <w:szCs w:val="20"/>
        </w:rPr>
        <w:t>Antenatal investigations can be performed in the community or at the hospital. Considering the time-sensitive nature of some investigations, and the timely intervention for some conditions, it is preferable that investigations are performed by a woman’s GP prior to her first hospital visit.</w:t>
      </w:r>
    </w:p>
    <w:p w14:paraId="49B8AD95" w14:textId="77777777" w:rsidR="00823C57" w:rsidRPr="00BA1B7B" w:rsidRDefault="00823C57" w:rsidP="00823C57">
      <w:pPr>
        <w:pStyle w:val="NoSpacing"/>
        <w:spacing w:line="276" w:lineRule="auto"/>
        <w:rPr>
          <w:rFonts w:ascii="Arial" w:hAnsi="Arial" w:cs="Arial"/>
          <w:sz w:val="20"/>
          <w:szCs w:val="20"/>
        </w:rPr>
      </w:pPr>
      <w:r w:rsidRPr="00BA1B7B">
        <w:rPr>
          <w:rFonts w:ascii="Arial" w:hAnsi="Arial" w:cs="Arial"/>
          <w:sz w:val="20"/>
          <w:szCs w:val="20"/>
        </w:rPr>
        <w:t xml:space="preserve">If a test is performed in the community, a copy of the results should be provided where possible to Eastern Health and a copy also given to the woman to bring to her hospital visits. All hard copy results will be kept her Eastern Health maternity record. </w:t>
      </w:r>
    </w:p>
    <w:p w14:paraId="4CE81BA6" w14:textId="77777777" w:rsidR="00823C57" w:rsidRPr="00BA1B7B" w:rsidRDefault="00823C57" w:rsidP="00823C57">
      <w:pPr>
        <w:pStyle w:val="NoSpacing"/>
        <w:spacing w:line="276" w:lineRule="auto"/>
        <w:rPr>
          <w:rFonts w:ascii="Arial" w:hAnsi="Arial" w:cs="Arial"/>
          <w:sz w:val="20"/>
          <w:szCs w:val="20"/>
        </w:rPr>
      </w:pPr>
      <w:r w:rsidRPr="00BA1B7B">
        <w:rPr>
          <w:rFonts w:ascii="Arial" w:hAnsi="Arial" w:cs="Arial"/>
          <w:sz w:val="20"/>
          <w:szCs w:val="20"/>
        </w:rPr>
        <w:t xml:space="preserve">It is the responsibility of the provider ordering a test to follow up results. Any abnormal finding should be escalated and referred appropriately to enable follow up, communication and management. </w:t>
      </w:r>
    </w:p>
    <w:p w14:paraId="7F798611" w14:textId="77777777" w:rsidR="00823C57" w:rsidRPr="00BA1B7B" w:rsidRDefault="00823C57" w:rsidP="00823C57">
      <w:pPr>
        <w:spacing w:line="276" w:lineRule="auto"/>
        <w:rPr>
          <w:rFonts w:ascii="Arial" w:hAnsi="Arial" w:cs="Arial"/>
          <w:sz w:val="20"/>
          <w:szCs w:val="20"/>
        </w:rPr>
      </w:pPr>
    </w:p>
    <w:p w14:paraId="7419476A"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Recommended initial investigations include:</w:t>
      </w:r>
    </w:p>
    <w:p w14:paraId="08D5967C"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Blood group and antibody screen</w:t>
      </w:r>
      <w:r w:rsidRPr="00BA1B7B">
        <w:rPr>
          <w:rFonts w:ascii="Arial" w:hAnsi="Arial" w:cs="Arial"/>
          <w:sz w:val="20"/>
          <w:szCs w:val="20"/>
        </w:rPr>
        <w:t xml:space="preserve">– It is vital to have a current record of a woman’s blood group in pregnancy. </w:t>
      </w:r>
    </w:p>
    <w:p w14:paraId="04FAD8F5"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If a woman is Rhesus negative and has no Rh antibodies – (see Section 7.2 p44 for further information)</w:t>
      </w:r>
    </w:p>
    <w:p w14:paraId="2661F48A" w14:textId="77777777" w:rsidR="00823C57" w:rsidRPr="00BA1B7B" w:rsidRDefault="00823C57" w:rsidP="004A22FD">
      <w:pPr>
        <w:pStyle w:val="ListParagraph"/>
        <w:numPr>
          <w:ilvl w:val="0"/>
          <w:numId w:val="17"/>
        </w:numPr>
        <w:spacing w:line="276" w:lineRule="auto"/>
        <w:rPr>
          <w:rFonts w:ascii="Arial" w:hAnsi="Arial" w:cs="Arial"/>
          <w:sz w:val="20"/>
          <w:szCs w:val="20"/>
        </w:rPr>
      </w:pPr>
      <w:r w:rsidRPr="00BA1B7B">
        <w:rPr>
          <w:rFonts w:ascii="Arial" w:hAnsi="Arial" w:cs="Arial"/>
          <w:sz w:val="20"/>
          <w:szCs w:val="20"/>
        </w:rPr>
        <w:t xml:space="preserve">Women are to receive a routine prophylactic dose of RH D immunoglobulin (Anti D) at the hospital at 28 and 34 weeks of gestation. </w:t>
      </w:r>
    </w:p>
    <w:p w14:paraId="6DF2DE18" w14:textId="25D955BE" w:rsidR="00823C57" w:rsidRPr="00BA1B7B" w:rsidRDefault="00823C57" w:rsidP="004A22FD">
      <w:pPr>
        <w:pStyle w:val="ListParagraph"/>
        <w:numPr>
          <w:ilvl w:val="0"/>
          <w:numId w:val="24"/>
        </w:numPr>
        <w:spacing w:line="276" w:lineRule="auto"/>
        <w:rPr>
          <w:rFonts w:ascii="Arial" w:hAnsi="Arial" w:cs="Arial"/>
          <w:sz w:val="20"/>
          <w:szCs w:val="20"/>
        </w:rPr>
      </w:pPr>
      <w:r w:rsidRPr="00BA1B7B">
        <w:rPr>
          <w:rFonts w:ascii="Arial" w:hAnsi="Arial" w:cs="Arial"/>
          <w:sz w:val="20"/>
          <w:szCs w:val="20"/>
        </w:rPr>
        <w:lastRenderedPageBreak/>
        <w:t xml:space="preserve">GPSC women are expected to attend for a hospital appointment at 28 weeks and will have Anti D administered in FMAC following this appointment. All routine screening bloods </w:t>
      </w:r>
      <w:r w:rsidRPr="00BA1B7B">
        <w:rPr>
          <w:rFonts w:ascii="Arial" w:hAnsi="Arial" w:cs="Arial"/>
          <w:b/>
          <w:sz w:val="20"/>
          <w:szCs w:val="20"/>
        </w:rPr>
        <w:t>MUST</w:t>
      </w:r>
      <w:r w:rsidRPr="00BA1B7B">
        <w:rPr>
          <w:rFonts w:ascii="Arial" w:hAnsi="Arial" w:cs="Arial"/>
          <w:sz w:val="20"/>
          <w:szCs w:val="20"/>
        </w:rPr>
        <w:t xml:space="preserve"> be completed prior to this appointment</w:t>
      </w:r>
      <w:r w:rsidR="004B7887" w:rsidRPr="00BA1B7B">
        <w:rPr>
          <w:rFonts w:ascii="Arial" w:hAnsi="Arial" w:cs="Arial"/>
          <w:sz w:val="20"/>
          <w:szCs w:val="20"/>
        </w:rPr>
        <w:t>.</w:t>
      </w:r>
    </w:p>
    <w:p w14:paraId="193F40DF" w14:textId="77777777" w:rsidR="00823C57" w:rsidRPr="00BA1B7B" w:rsidRDefault="00823C57" w:rsidP="00823C57">
      <w:pPr>
        <w:pStyle w:val="ListParagraph"/>
        <w:spacing w:line="276" w:lineRule="auto"/>
        <w:ind w:left="1440"/>
        <w:rPr>
          <w:rFonts w:ascii="Arial" w:hAnsi="Arial" w:cs="Arial"/>
          <w:sz w:val="20"/>
          <w:szCs w:val="20"/>
        </w:rPr>
      </w:pPr>
    </w:p>
    <w:p w14:paraId="2AA8721F" w14:textId="77777777" w:rsidR="00823C57" w:rsidRPr="00BA1B7B" w:rsidRDefault="00823C57" w:rsidP="004A22FD">
      <w:pPr>
        <w:pStyle w:val="ListParagraph"/>
        <w:numPr>
          <w:ilvl w:val="0"/>
          <w:numId w:val="24"/>
        </w:numPr>
        <w:spacing w:line="276" w:lineRule="auto"/>
        <w:rPr>
          <w:rFonts w:ascii="Arial" w:hAnsi="Arial" w:cs="Arial"/>
          <w:sz w:val="20"/>
          <w:szCs w:val="20"/>
        </w:rPr>
      </w:pPr>
      <w:r w:rsidRPr="00BA1B7B">
        <w:rPr>
          <w:rFonts w:ascii="Arial" w:hAnsi="Arial" w:cs="Arial"/>
          <w:sz w:val="20"/>
          <w:szCs w:val="20"/>
        </w:rPr>
        <w:t>For 34 weeks administration of Anti D - GP to call relevant ANC to arrange FMAC appointment date and time and document in maternity hand held record</w:t>
      </w:r>
    </w:p>
    <w:p w14:paraId="1B2ED134" w14:textId="77777777" w:rsidR="00823C57" w:rsidRPr="00BA1B7B" w:rsidRDefault="00823C57" w:rsidP="004A22FD">
      <w:pPr>
        <w:pStyle w:val="ListParagraph"/>
        <w:numPr>
          <w:ilvl w:val="0"/>
          <w:numId w:val="17"/>
        </w:numPr>
        <w:spacing w:line="276" w:lineRule="auto"/>
        <w:rPr>
          <w:rFonts w:ascii="Arial" w:hAnsi="Arial" w:cs="Arial"/>
          <w:sz w:val="20"/>
          <w:szCs w:val="20"/>
        </w:rPr>
      </w:pPr>
      <w:r w:rsidRPr="00BA1B7B">
        <w:rPr>
          <w:rFonts w:ascii="Arial" w:hAnsi="Arial" w:cs="Arial"/>
          <w:sz w:val="20"/>
          <w:szCs w:val="20"/>
        </w:rPr>
        <w:t xml:space="preserve">Post-Nataly women will be given an additional prophylactic dose of Anti D in hospital, if her baby is Rhesus positive. </w:t>
      </w:r>
    </w:p>
    <w:p w14:paraId="6E1C655F" w14:textId="77777777" w:rsidR="00823C57" w:rsidRPr="00BA1B7B" w:rsidRDefault="00823C57" w:rsidP="004A22FD">
      <w:pPr>
        <w:pStyle w:val="ListParagraph"/>
        <w:numPr>
          <w:ilvl w:val="0"/>
          <w:numId w:val="17"/>
        </w:numPr>
        <w:spacing w:line="276" w:lineRule="auto"/>
        <w:rPr>
          <w:rFonts w:ascii="Arial" w:hAnsi="Arial" w:cs="Arial"/>
          <w:sz w:val="20"/>
          <w:szCs w:val="20"/>
        </w:rPr>
      </w:pPr>
      <w:r w:rsidRPr="00BA1B7B">
        <w:rPr>
          <w:rFonts w:ascii="Arial" w:hAnsi="Arial" w:cs="Arial"/>
          <w:sz w:val="20"/>
          <w:szCs w:val="20"/>
        </w:rPr>
        <w:t xml:space="preserve">In the event of a sensitizing event, or concern of a sensitizing event, women are to be referred to the closest Maternity hospital emergency department for review and prophylactic anti D where appropriate. </w:t>
      </w:r>
    </w:p>
    <w:p w14:paraId="5269D12A" w14:textId="77777777" w:rsidR="00823C57" w:rsidRPr="00BA1B7B" w:rsidRDefault="00823C57" w:rsidP="00823C57">
      <w:pPr>
        <w:spacing w:line="276" w:lineRule="auto"/>
        <w:jc w:val="center"/>
        <w:rPr>
          <w:rFonts w:ascii="Arial" w:hAnsi="Arial" w:cs="Arial"/>
          <w:b/>
          <w:bCs/>
          <w:i/>
          <w:iCs/>
          <w:sz w:val="20"/>
          <w:szCs w:val="20"/>
        </w:rPr>
      </w:pPr>
      <w:r w:rsidRPr="00BA1B7B">
        <w:rPr>
          <w:rFonts w:ascii="Arial" w:hAnsi="Arial" w:cs="Arial"/>
          <w:b/>
          <w:bCs/>
          <w:i/>
          <w:iCs/>
          <w:sz w:val="20"/>
          <w:szCs w:val="20"/>
        </w:rPr>
        <w:t>Antibody screen –</w:t>
      </w:r>
      <w:bookmarkStart w:id="46" w:name="_Hlk47098052"/>
      <w:r w:rsidRPr="00BA1B7B">
        <w:rPr>
          <w:rFonts w:ascii="Arial" w:hAnsi="Arial" w:cs="Arial"/>
          <w:b/>
          <w:bCs/>
          <w:i/>
          <w:iCs/>
          <w:sz w:val="20"/>
          <w:szCs w:val="20"/>
        </w:rPr>
        <w:t xml:space="preserve"> Regardless of Rhesus status, it is recommended that all women have an antibody screen in every pregnancy, as antibodies can change over time and antibodies other than Rhesus may still affect the pregnancy</w:t>
      </w:r>
    </w:p>
    <w:p w14:paraId="408A2893" w14:textId="77777777" w:rsidR="00823C57" w:rsidRPr="00BA1B7B" w:rsidRDefault="00823C57" w:rsidP="00823C57">
      <w:pPr>
        <w:spacing w:line="276" w:lineRule="auto"/>
        <w:jc w:val="center"/>
        <w:rPr>
          <w:rFonts w:ascii="Arial" w:hAnsi="Arial" w:cs="Arial"/>
          <w:b/>
          <w:bCs/>
          <w:i/>
          <w:iCs/>
          <w:sz w:val="20"/>
          <w:szCs w:val="20"/>
        </w:rPr>
      </w:pPr>
    </w:p>
    <w:bookmarkEnd w:id="46"/>
    <w:p w14:paraId="0F4373F6"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Full Blood Examination (FBE)</w:t>
      </w:r>
      <w:r w:rsidRPr="00BA1B7B">
        <w:rPr>
          <w:rFonts w:ascii="Arial" w:hAnsi="Arial" w:cs="Arial"/>
          <w:sz w:val="20"/>
          <w:szCs w:val="20"/>
        </w:rPr>
        <w:t xml:space="preserve"> screening for anaemia, thrombocytopenia, iron deficiency and haemoglobinopathies (e.g., thalassaemia, sickle cell anaemia).</w:t>
      </w:r>
    </w:p>
    <w:p w14:paraId="29C44EB4"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 A normal MCV excludes thalassemia. If a low haemoglobin/MCV is identified, further testing and partner testing may be required for haemoglobinopathy.  This is best organized early in pregnancy to enable genetic counselling should it be required. Partner testing only necessary if the woman is a carrier. </w:t>
      </w:r>
      <w:r w:rsidRPr="00BA1B7B">
        <w:rPr>
          <w:rFonts w:ascii="Arial" w:hAnsi="Arial" w:cs="Arial"/>
          <w:i/>
          <w:iCs/>
          <w:sz w:val="20"/>
          <w:szCs w:val="20"/>
        </w:rPr>
        <w:t xml:space="preserve"> </w:t>
      </w:r>
      <w:r w:rsidRPr="00BA1B7B">
        <w:rPr>
          <w:rFonts w:ascii="Arial" w:hAnsi="Arial" w:cs="Arial"/>
          <w:sz w:val="20"/>
          <w:szCs w:val="20"/>
        </w:rPr>
        <w:t>If a woman and partner have been previously tested please provide a copy of the results where possible.</w:t>
      </w:r>
    </w:p>
    <w:p w14:paraId="6B0C1AEB" w14:textId="77777777" w:rsidR="00823C57" w:rsidRPr="00BA1B7B" w:rsidRDefault="00823C57" w:rsidP="00823C57">
      <w:pPr>
        <w:spacing w:line="276" w:lineRule="auto"/>
        <w:rPr>
          <w:rFonts w:ascii="Arial" w:hAnsi="Arial" w:cs="Arial"/>
          <w:sz w:val="20"/>
          <w:szCs w:val="20"/>
        </w:rPr>
      </w:pPr>
    </w:p>
    <w:p w14:paraId="4A7186CE" w14:textId="77777777" w:rsidR="00823C57" w:rsidRPr="00BA1B7B" w:rsidRDefault="00823C57" w:rsidP="00823C57">
      <w:pPr>
        <w:spacing w:line="276" w:lineRule="auto"/>
        <w:rPr>
          <w:rFonts w:ascii="Arial" w:hAnsi="Arial" w:cs="Arial"/>
          <w:sz w:val="20"/>
          <w:szCs w:val="20"/>
        </w:rPr>
      </w:pPr>
      <w:r w:rsidRPr="00BA1B7B" w:rsidDel="007209FC">
        <w:rPr>
          <w:rFonts w:ascii="Arial" w:hAnsi="Arial" w:cs="Arial"/>
          <w:b/>
          <w:bCs/>
          <w:sz w:val="20"/>
          <w:szCs w:val="20"/>
        </w:rPr>
        <w:t>Iron Studies</w:t>
      </w:r>
      <w:r w:rsidRPr="00BA1B7B" w:rsidDel="007209FC">
        <w:rPr>
          <w:rFonts w:ascii="Arial" w:hAnsi="Arial" w:cs="Arial"/>
          <w:sz w:val="20"/>
          <w:szCs w:val="20"/>
        </w:rPr>
        <w:t xml:space="preserve"> – Iron studies testing should be </w:t>
      </w:r>
      <w:r w:rsidRPr="00BA1B7B">
        <w:rPr>
          <w:rFonts w:ascii="Arial" w:hAnsi="Arial" w:cs="Arial"/>
          <w:sz w:val="20"/>
          <w:szCs w:val="20"/>
        </w:rPr>
        <w:t>obtained for all women as a baseline</w:t>
      </w:r>
      <w:r w:rsidRPr="00BA1B7B" w:rsidDel="007209FC">
        <w:rPr>
          <w:rFonts w:ascii="Arial" w:hAnsi="Arial" w:cs="Arial"/>
          <w:sz w:val="20"/>
          <w:szCs w:val="20"/>
        </w:rPr>
        <w:t xml:space="preserve"> for iron deficiency and/ or anaemia </w:t>
      </w:r>
      <w:r w:rsidRPr="00BA1B7B">
        <w:rPr>
          <w:rFonts w:ascii="Arial" w:hAnsi="Arial" w:cs="Arial"/>
          <w:sz w:val="20"/>
          <w:szCs w:val="20"/>
        </w:rPr>
        <w:t xml:space="preserve">for more information on </w:t>
      </w:r>
      <w:r w:rsidRPr="00BA1B7B" w:rsidDel="007209FC">
        <w:rPr>
          <w:rFonts w:ascii="Arial" w:hAnsi="Arial" w:cs="Arial"/>
          <w:sz w:val="20"/>
          <w:szCs w:val="20"/>
        </w:rPr>
        <w:t>Iron deficiency</w:t>
      </w:r>
      <w:r w:rsidRPr="00BA1B7B">
        <w:rPr>
          <w:rFonts w:ascii="Arial" w:hAnsi="Arial" w:cs="Arial"/>
          <w:sz w:val="20"/>
          <w:szCs w:val="20"/>
        </w:rPr>
        <w:t xml:space="preserve">/anaemia see </w:t>
      </w:r>
      <w:r w:rsidRPr="00BA1B7B" w:rsidDel="007209FC">
        <w:rPr>
          <w:rFonts w:ascii="Arial" w:hAnsi="Arial" w:cs="Arial"/>
          <w:iCs/>
          <w:sz w:val="20"/>
          <w:szCs w:val="20"/>
        </w:rPr>
        <w:t>section</w:t>
      </w:r>
      <w:r w:rsidRPr="00BA1B7B" w:rsidDel="007209FC">
        <w:rPr>
          <w:rFonts w:ascii="Arial" w:hAnsi="Arial" w:cs="Arial"/>
          <w:i/>
          <w:iCs/>
          <w:sz w:val="20"/>
          <w:szCs w:val="20"/>
        </w:rPr>
        <w:t xml:space="preserve"> 7</w:t>
      </w:r>
      <w:r w:rsidRPr="00BA1B7B" w:rsidDel="007209FC">
        <w:rPr>
          <w:rFonts w:ascii="Arial" w:hAnsi="Arial" w:cs="Arial"/>
          <w:sz w:val="20"/>
          <w:szCs w:val="20"/>
        </w:rPr>
        <w:t xml:space="preserve">. In pregnancy it is recommended that </w:t>
      </w:r>
      <w:r w:rsidRPr="00BA1B7B">
        <w:rPr>
          <w:rFonts w:ascii="Arial" w:hAnsi="Arial" w:cs="Arial"/>
          <w:sz w:val="20"/>
          <w:szCs w:val="20"/>
        </w:rPr>
        <w:t xml:space="preserve">optimum </w:t>
      </w:r>
      <w:r w:rsidRPr="00BA1B7B" w:rsidDel="007209FC">
        <w:rPr>
          <w:rFonts w:ascii="Arial" w:hAnsi="Arial" w:cs="Arial"/>
          <w:sz w:val="20"/>
          <w:szCs w:val="20"/>
        </w:rPr>
        <w:t xml:space="preserve">ferritin levels </w:t>
      </w:r>
      <w:r w:rsidRPr="00BA1B7B">
        <w:rPr>
          <w:rFonts w:ascii="Arial" w:hAnsi="Arial" w:cs="Arial"/>
          <w:sz w:val="20"/>
          <w:szCs w:val="20"/>
        </w:rPr>
        <w:t>should be</w:t>
      </w:r>
      <w:r w:rsidRPr="00BA1B7B" w:rsidDel="007209FC">
        <w:rPr>
          <w:rFonts w:ascii="Arial" w:hAnsi="Arial" w:cs="Arial"/>
          <w:sz w:val="20"/>
          <w:szCs w:val="20"/>
        </w:rPr>
        <w:t xml:space="preserve"> greater than 30.</w:t>
      </w:r>
    </w:p>
    <w:p w14:paraId="004D7A29" w14:textId="77777777" w:rsidR="00823C57" w:rsidRPr="00BA1B7B" w:rsidRDefault="00823C57" w:rsidP="00823C57">
      <w:pPr>
        <w:spacing w:line="276" w:lineRule="auto"/>
        <w:rPr>
          <w:rFonts w:ascii="Arial" w:hAnsi="Arial" w:cs="Arial"/>
          <w:i/>
          <w:iCs/>
          <w:sz w:val="20"/>
          <w:szCs w:val="20"/>
        </w:rPr>
      </w:pPr>
    </w:p>
    <w:p w14:paraId="37542AE5" w14:textId="77777777" w:rsidR="00823C57" w:rsidRPr="00BA1B7B" w:rsidRDefault="00823C57" w:rsidP="00823C57">
      <w:pPr>
        <w:spacing w:line="276" w:lineRule="auto"/>
        <w:rPr>
          <w:rStyle w:val="Hyperlink"/>
          <w:rFonts w:ascii="Arial" w:hAnsi="Arial" w:cs="Arial"/>
          <w:i/>
          <w:iCs/>
          <w:color w:val="auto"/>
          <w:sz w:val="20"/>
          <w:szCs w:val="20"/>
        </w:rPr>
      </w:pPr>
      <w:r w:rsidRPr="00BA1B7B">
        <w:rPr>
          <w:rFonts w:ascii="Arial" w:hAnsi="Arial" w:cs="Arial"/>
          <w:b/>
          <w:bCs/>
          <w:sz w:val="20"/>
          <w:szCs w:val="20"/>
        </w:rPr>
        <w:t xml:space="preserve">Hepatitis B </w:t>
      </w:r>
      <w:bookmarkStart w:id="47" w:name="_Hlk45791039"/>
      <w:r w:rsidRPr="00BA1B7B">
        <w:rPr>
          <w:rFonts w:ascii="Arial" w:hAnsi="Arial" w:cs="Arial"/>
          <w:b/>
          <w:bCs/>
          <w:sz w:val="20"/>
          <w:szCs w:val="20"/>
        </w:rPr>
        <w:t>screening</w:t>
      </w:r>
      <w:r w:rsidRPr="00BA1B7B">
        <w:rPr>
          <w:rFonts w:ascii="Arial" w:hAnsi="Arial" w:cs="Arial"/>
          <w:sz w:val="20"/>
          <w:szCs w:val="20"/>
        </w:rPr>
        <w:t xml:space="preserve"> - Eastern Health recommends screening should be offered to all women in pregnancy. All women should be appropriately counselled prior to testing. If a woman returns a abnormal liver function test, a high viral load or is newly diagnosed</w:t>
      </w:r>
      <w:bookmarkStart w:id="48" w:name="_Hlk46321176"/>
      <w:r w:rsidRPr="00BA1B7B">
        <w:rPr>
          <w:rFonts w:ascii="Arial" w:hAnsi="Arial" w:cs="Arial"/>
          <w:i/>
          <w:iCs/>
          <w:sz w:val="20"/>
          <w:szCs w:val="20"/>
        </w:rPr>
        <w:t xml:space="preserve">. Women should be referred to the infectious disease outpatient clinic at Box Hill Hospital for all new diagnoses. eReferal is preferred. For assistance and guidance with e Referrals See: </w:t>
      </w:r>
      <w:hyperlink r:id="rId73" w:anchor="eastern-health-clinics" w:history="1">
        <w:r w:rsidRPr="00BA1B7B">
          <w:rPr>
            <w:rStyle w:val="Hyperlink"/>
            <w:rFonts w:ascii="Arial" w:hAnsi="Arial" w:cs="Arial"/>
            <w:i/>
            <w:iCs/>
            <w:color w:val="auto"/>
            <w:sz w:val="20"/>
            <w:szCs w:val="20"/>
          </w:rPr>
          <w:t>https://www.easternhealth.org.au/site/item/65-outpatients#eastern-health-clinics</w:t>
        </w:r>
      </w:hyperlink>
      <w:bookmarkEnd w:id="48"/>
    </w:p>
    <w:p w14:paraId="32FE6F48" w14:textId="77777777" w:rsidR="00823C57" w:rsidRPr="00BA1B7B" w:rsidRDefault="00823C57" w:rsidP="00823C57">
      <w:pPr>
        <w:spacing w:line="276" w:lineRule="auto"/>
        <w:rPr>
          <w:rFonts w:ascii="Arial" w:hAnsi="Arial" w:cs="Arial"/>
          <w:sz w:val="20"/>
          <w:szCs w:val="20"/>
        </w:rPr>
      </w:pPr>
    </w:p>
    <w:bookmarkEnd w:id="47"/>
    <w:p w14:paraId="65FFE815"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Hepatitis C serology</w:t>
      </w:r>
      <w:r w:rsidRPr="00BA1B7B">
        <w:rPr>
          <w:rFonts w:ascii="Arial" w:hAnsi="Arial" w:cs="Arial"/>
          <w:sz w:val="20"/>
          <w:szCs w:val="20"/>
        </w:rPr>
        <w:t xml:space="preserve"> - Eastern Health recommends screening should be offered to all women in pregnancy. All women should be appropriately counselled prior to testing and if a woman has an abnormal liver function test, a high viral load or is newly diagnosed</w:t>
      </w:r>
      <w:r w:rsidRPr="00BA1B7B">
        <w:rPr>
          <w:rFonts w:ascii="Arial" w:hAnsi="Arial" w:cs="Arial"/>
          <w:i/>
          <w:iCs/>
          <w:sz w:val="20"/>
          <w:szCs w:val="20"/>
        </w:rPr>
        <w:t xml:space="preserve">. Referral to the infectious disease outpatient clinic at Box Hill Hospital for all new diagnoses. E-Referal is preferred. For assistance and guidance with e Referrals see: </w:t>
      </w:r>
      <w:hyperlink r:id="rId74" w:anchor="eastern-health-clinics" w:history="1">
        <w:r w:rsidRPr="00BA1B7B">
          <w:rPr>
            <w:rStyle w:val="Hyperlink"/>
            <w:rFonts w:ascii="Arial" w:hAnsi="Arial" w:cs="Arial"/>
            <w:i/>
            <w:iCs/>
            <w:color w:val="auto"/>
            <w:sz w:val="20"/>
            <w:szCs w:val="20"/>
          </w:rPr>
          <w:t>https://www.easternhealth.org.au/site/item/65-outpatients#eastern-health-clinics</w:t>
        </w:r>
      </w:hyperlink>
    </w:p>
    <w:p w14:paraId="2577600C" w14:textId="77777777" w:rsidR="00823C57" w:rsidRPr="00BA1B7B" w:rsidRDefault="00823C57" w:rsidP="00823C57">
      <w:pPr>
        <w:spacing w:line="276" w:lineRule="auto"/>
        <w:rPr>
          <w:rFonts w:ascii="Arial" w:hAnsi="Arial" w:cs="Arial"/>
          <w:b/>
          <w:bCs/>
          <w:sz w:val="20"/>
          <w:szCs w:val="20"/>
        </w:rPr>
      </w:pPr>
    </w:p>
    <w:p w14:paraId="6FAC6DD8" w14:textId="44C3E591" w:rsidR="00823C57" w:rsidRPr="00BA1B7B" w:rsidRDefault="00823C57" w:rsidP="00823C57">
      <w:pPr>
        <w:spacing w:line="276" w:lineRule="auto"/>
        <w:rPr>
          <w:rStyle w:val="Hyperlink"/>
          <w:rFonts w:ascii="Arial" w:hAnsi="Arial" w:cs="Arial"/>
          <w:i/>
          <w:iCs/>
          <w:color w:val="auto"/>
          <w:sz w:val="20"/>
          <w:szCs w:val="20"/>
        </w:rPr>
      </w:pPr>
      <w:r w:rsidRPr="00BA1B7B">
        <w:rPr>
          <w:rFonts w:ascii="Arial" w:hAnsi="Arial" w:cs="Arial"/>
          <w:b/>
          <w:bCs/>
          <w:sz w:val="20"/>
          <w:szCs w:val="20"/>
        </w:rPr>
        <w:t>HIV serology</w:t>
      </w:r>
      <w:r w:rsidRPr="00BA1B7B">
        <w:rPr>
          <w:rFonts w:ascii="Arial" w:hAnsi="Arial" w:cs="Arial"/>
          <w:sz w:val="20"/>
          <w:szCs w:val="20"/>
        </w:rPr>
        <w:t xml:space="preserve"> - Testing for HIV in pregnancy enables measures to be initiated to reduce the risk of mother-to-child transmission and for the woman to be offered treatment and psychosocial support. It is imperative that a woman receive appropriate counselling prior to any testing of the potential implications of a positive or negative finding. The test should only be ordered by a clinician suitably </w:t>
      </w:r>
      <w:r w:rsidRPr="00BA1B7B">
        <w:rPr>
          <w:rFonts w:ascii="Arial" w:hAnsi="Arial" w:cs="Arial"/>
          <w:sz w:val="20"/>
          <w:szCs w:val="20"/>
        </w:rPr>
        <w:lastRenderedPageBreak/>
        <w:t>qualified to provide this counselling.</w:t>
      </w:r>
      <w:r w:rsidRPr="00BA1B7B">
        <w:rPr>
          <w:rFonts w:ascii="Arial" w:hAnsi="Arial" w:cs="Arial"/>
          <w:i/>
          <w:iCs/>
          <w:sz w:val="20"/>
          <w:szCs w:val="20"/>
        </w:rPr>
        <w:t xml:space="preserve"> Women should be referred to the infectious disease outpatient clinic at Box Hill Hospital for all new diagnoses. </w:t>
      </w:r>
      <w:r w:rsidR="004B7887" w:rsidRPr="00BA1B7B">
        <w:rPr>
          <w:rFonts w:ascii="Arial" w:hAnsi="Arial" w:cs="Arial"/>
          <w:i/>
          <w:iCs/>
          <w:sz w:val="20"/>
          <w:szCs w:val="20"/>
        </w:rPr>
        <w:t>E-Referral</w:t>
      </w:r>
      <w:r w:rsidRPr="00BA1B7B">
        <w:rPr>
          <w:rFonts w:ascii="Arial" w:hAnsi="Arial" w:cs="Arial"/>
          <w:i/>
          <w:iCs/>
          <w:sz w:val="20"/>
          <w:szCs w:val="20"/>
        </w:rPr>
        <w:t xml:space="preserve"> is preferred. Fo</w:t>
      </w:r>
      <w:r w:rsidR="004B7887" w:rsidRPr="00BA1B7B">
        <w:rPr>
          <w:rFonts w:ascii="Arial" w:hAnsi="Arial" w:cs="Arial"/>
          <w:i/>
          <w:iCs/>
          <w:sz w:val="20"/>
          <w:szCs w:val="20"/>
        </w:rPr>
        <w:t>r assistance and guidance with E-</w:t>
      </w:r>
      <w:r w:rsidRPr="00BA1B7B">
        <w:rPr>
          <w:rFonts w:ascii="Arial" w:hAnsi="Arial" w:cs="Arial"/>
          <w:i/>
          <w:iCs/>
          <w:sz w:val="20"/>
          <w:szCs w:val="20"/>
        </w:rPr>
        <w:t xml:space="preserve">Referrals </w:t>
      </w:r>
      <w:r w:rsidR="002C5AEA" w:rsidRPr="00BA1B7B">
        <w:rPr>
          <w:rFonts w:ascii="Arial" w:hAnsi="Arial" w:cs="Arial"/>
          <w:i/>
          <w:iCs/>
          <w:sz w:val="20"/>
          <w:szCs w:val="20"/>
        </w:rPr>
        <w:t>See:</w:t>
      </w:r>
      <w:r w:rsidRPr="00BA1B7B">
        <w:rPr>
          <w:rFonts w:ascii="Arial" w:hAnsi="Arial" w:cs="Arial"/>
          <w:i/>
          <w:iCs/>
          <w:sz w:val="20"/>
          <w:szCs w:val="20"/>
        </w:rPr>
        <w:t xml:space="preserve"> </w:t>
      </w:r>
      <w:hyperlink r:id="rId75" w:anchor="eastern-health-clinics" w:history="1">
        <w:r w:rsidRPr="00BA1B7B">
          <w:rPr>
            <w:rStyle w:val="Hyperlink"/>
            <w:rFonts w:ascii="Arial" w:hAnsi="Arial" w:cs="Arial"/>
            <w:i/>
            <w:iCs/>
            <w:color w:val="auto"/>
            <w:sz w:val="20"/>
            <w:szCs w:val="20"/>
          </w:rPr>
          <w:t>https://www.easternhealth.org.au/site/item/65-outpatients#eastern-health-clinics</w:t>
        </w:r>
      </w:hyperlink>
    </w:p>
    <w:p w14:paraId="44FEEE3B" w14:textId="77777777" w:rsidR="00823C57" w:rsidRPr="00BA1B7B" w:rsidRDefault="00823C57" w:rsidP="00823C57">
      <w:pPr>
        <w:spacing w:line="276" w:lineRule="auto"/>
        <w:rPr>
          <w:rFonts w:ascii="Arial" w:hAnsi="Arial" w:cs="Arial"/>
          <w:sz w:val="20"/>
          <w:szCs w:val="20"/>
        </w:rPr>
      </w:pPr>
    </w:p>
    <w:p w14:paraId="03062388"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Syphilis serology</w:t>
      </w:r>
      <w:r w:rsidRPr="00BA1B7B">
        <w:rPr>
          <w:rFonts w:ascii="Arial" w:hAnsi="Arial" w:cs="Arial"/>
          <w:sz w:val="20"/>
          <w:szCs w:val="20"/>
        </w:rPr>
        <w:t xml:space="preserve"> – all women should be offered a screening test for syphilis in pregnancy. Syphilis cases have been rising recently in Australia, particularly in Victoria. If left untreated, it can have </w:t>
      </w:r>
    </w:p>
    <w:p w14:paraId="4A82365C" w14:textId="77777777" w:rsidR="002C5AEA"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severe consequences to the mother and baby. In regard to specific syphilis testing; RANZCOG recommend that screening should occur with a specific treponema pallidum assay, for example Treponema pallidum haemaglutination assay (TPHA) or the Treponema pallidum particle agglutination assay (TPPA). The non- specific Treponema pallidum assays, such as the rapid plasma regain (RPR) or Veneral Diseases Reference Laboratory (VDRL) tests, although cheaper, are less likely to pick up latent infection. </w:t>
      </w:r>
    </w:p>
    <w:p w14:paraId="6221624D" w14:textId="596D16B4" w:rsidR="00823C57" w:rsidRPr="00BA1B7B" w:rsidRDefault="002C5AEA" w:rsidP="00823C57">
      <w:pPr>
        <w:spacing w:line="276" w:lineRule="auto"/>
        <w:rPr>
          <w:rFonts w:ascii="Arial" w:hAnsi="Arial" w:cs="Arial"/>
          <w:sz w:val="20"/>
          <w:szCs w:val="20"/>
        </w:rPr>
      </w:pPr>
      <w:r w:rsidRPr="00BA1B7B">
        <w:rPr>
          <w:rFonts w:ascii="Arial" w:hAnsi="Arial" w:cs="Arial"/>
          <w:sz w:val="20"/>
          <w:szCs w:val="20"/>
        </w:rPr>
        <w:t xml:space="preserve">Women identified as high risk should be rechecked </w:t>
      </w:r>
      <w:r w:rsidR="00C07171" w:rsidRPr="00BA1B7B">
        <w:rPr>
          <w:rFonts w:ascii="Arial" w:hAnsi="Arial" w:cs="Arial"/>
          <w:sz w:val="20"/>
          <w:szCs w:val="20"/>
        </w:rPr>
        <w:t>in the third trimester, time of birth and six weeks post-natally.</w:t>
      </w:r>
    </w:p>
    <w:p w14:paraId="490CE0E4" w14:textId="0E1C5B14" w:rsidR="00C07171" w:rsidRPr="00BA1B7B" w:rsidRDefault="00C07171" w:rsidP="00823C57">
      <w:pPr>
        <w:spacing w:line="276" w:lineRule="auto"/>
        <w:rPr>
          <w:rFonts w:ascii="Arial" w:hAnsi="Arial" w:cs="Arial"/>
          <w:sz w:val="20"/>
          <w:szCs w:val="20"/>
        </w:rPr>
      </w:pPr>
    </w:p>
    <w:p w14:paraId="70DED658" w14:textId="62D4958E" w:rsidR="00C07171" w:rsidRPr="00BA1B7B" w:rsidRDefault="00C07171" w:rsidP="00823C57">
      <w:pPr>
        <w:spacing w:line="276" w:lineRule="auto"/>
        <w:rPr>
          <w:rFonts w:ascii="Arial" w:hAnsi="Arial" w:cs="Arial"/>
          <w:sz w:val="20"/>
          <w:szCs w:val="20"/>
        </w:rPr>
      </w:pPr>
      <w:r w:rsidRPr="00BA1B7B">
        <w:rPr>
          <w:rFonts w:ascii="Arial" w:hAnsi="Arial" w:cs="Arial"/>
          <w:sz w:val="20"/>
          <w:szCs w:val="20"/>
        </w:rPr>
        <w:t xml:space="preserve">Refer to ASHM for further guidance on BBV &amp; STI in pregnancy: </w:t>
      </w:r>
      <w:hyperlink r:id="rId76" w:history="1">
        <w:r w:rsidRPr="00BA1B7B">
          <w:rPr>
            <w:rStyle w:val="Hyperlink"/>
            <w:rFonts w:ascii="Arial" w:hAnsi="Arial" w:cs="Arial"/>
            <w:color w:val="auto"/>
            <w:sz w:val="20"/>
            <w:szCs w:val="20"/>
          </w:rPr>
          <w:t>https://ashm.org.au/resources/australian-sti-management-guidelines/</w:t>
        </w:r>
      </w:hyperlink>
      <w:r w:rsidRPr="00BA1B7B">
        <w:rPr>
          <w:rFonts w:ascii="Arial" w:hAnsi="Arial" w:cs="Arial"/>
          <w:sz w:val="20"/>
          <w:szCs w:val="20"/>
        </w:rPr>
        <w:t xml:space="preserve"> AND/OR  </w:t>
      </w:r>
      <w:hyperlink r:id="rId77" w:history="1">
        <w:r w:rsidRPr="00BA1B7B">
          <w:rPr>
            <w:rStyle w:val="Hyperlink"/>
            <w:rFonts w:ascii="Arial" w:hAnsi="Arial" w:cs="Arial"/>
            <w:color w:val="auto"/>
            <w:sz w:val="20"/>
            <w:szCs w:val="20"/>
          </w:rPr>
          <w:t>https://ashm.org.au/wp-content/uploads/2022/10/ASHM-BBVs-STIs-in-Antenatal-Care-Resource-2022.pdf</w:t>
        </w:r>
      </w:hyperlink>
    </w:p>
    <w:p w14:paraId="35C51CD5" w14:textId="7F4B2E8F" w:rsidR="00823C57" w:rsidRPr="00BA1B7B" w:rsidRDefault="00823C57" w:rsidP="00823C57">
      <w:pPr>
        <w:spacing w:line="276" w:lineRule="auto"/>
        <w:rPr>
          <w:rFonts w:ascii="Arial" w:hAnsi="Arial" w:cs="Arial"/>
          <w:b/>
          <w:bCs/>
          <w:sz w:val="20"/>
          <w:szCs w:val="20"/>
        </w:rPr>
      </w:pPr>
    </w:p>
    <w:p w14:paraId="65EFF0B1"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Rubella antibodies</w:t>
      </w:r>
      <w:r w:rsidRPr="00BA1B7B">
        <w:rPr>
          <w:rFonts w:ascii="Arial" w:hAnsi="Arial" w:cs="Arial"/>
          <w:sz w:val="20"/>
          <w:szCs w:val="20"/>
        </w:rPr>
        <w:t xml:space="preserve"> - Rubella immunity should be checked antenatally and highlighted if low immunity or non-immune. Please refer to the individual pathology services reference ranges for report guidance for non-immune and low immunity levels as they are service specific. If a woman has no immunity or low immunity, The MMR vaccine will be offered/administered in the hospital postpartum period to protect future pregnancies. </w:t>
      </w:r>
    </w:p>
    <w:p w14:paraId="40F1A3EC" w14:textId="77777777" w:rsidR="00823C57" w:rsidRPr="00BA1B7B" w:rsidRDefault="00823C57" w:rsidP="00823C57">
      <w:pPr>
        <w:spacing w:line="276" w:lineRule="auto"/>
        <w:rPr>
          <w:rFonts w:ascii="Arial" w:hAnsi="Arial" w:cs="Arial"/>
          <w:sz w:val="20"/>
          <w:szCs w:val="20"/>
        </w:rPr>
      </w:pPr>
    </w:p>
    <w:p w14:paraId="112A649C"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Urinalysis</w:t>
      </w:r>
      <w:r w:rsidRPr="00BA1B7B">
        <w:rPr>
          <w:rFonts w:ascii="Arial" w:hAnsi="Arial" w:cs="Arial"/>
          <w:sz w:val="20"/>
          <w:szCs w:val="20"/>
        </w:rPr>
        <w:t xml:space="preserve"> - Asymptomatic </w:t>
      </w:r>
      <w:bookmarkStart w:id="49" w:name="_Hlk45794944"/>
      <w:r w:rsidRPr="00BA1B7B">
        <w:rPr>
          <w:rFonts w:ascii="Arial" w:hAnsi="Arial" w:cs="Arial"/>
          <w:sz w:val="20"/>
          <w:szCs w:val="20"/>
        </w:rPr>
        <w:t>bacteriuria</w:t>
      </w:r>
      <w:bookmarkEnd w:id="49"/>
      <w:r w:rsidRPr="00BA1B7B">
        <w:rPr>
          <w:rFonts w:ascii="Arial" w:hAnsi="Arial" w:cs="Arial"/>
          <w:sz w:val="20"/>
          <w:szCs w:val="20"/>
        </w:rPr>
        <w:t xml:space="preserve"> is the persistent bacterial colonisation of the urinary tract without symptoms. Testing during pregnancy allows treatment to be offered to reduce the risk of progression to pyelonephritis. If detected, asymptomatic bacteriuria should be treated with a full course of an appropriate antibiotic, and a repeat MSU performed following the treatment to ensure treatment efficacy. </w:t>
      </w:r>
    </w:p>
    <w:p w14:paraId="22628047" w14:textId="77777777" w:rsidR="00823C57" w:rsidRPr="00BA1B7B" w:rsidRDefault="00823C57" w:rsidP="00823C57">
      <w:pPr>
        <w:spacing w:line="276" w:lineRule="auto"/>
        <w:rPr>
          <w:rFonts w:ascii="Arial" w:hAnsi="Arial" w:cs="Arial"/>
          <w:sz w:val="20"/>
          <w:szCs w:val="20"/>
        </w:rPr>
      </w:pPr>
    </w:p>
    <w:p w14:paraId="37DFE1D6" w14:textId="6902A18E" w:rsidR="00823C57" w:rsidRPr="00BA1B7B" w:rsidRDefault="00823C57" w:rsidP="00823C57">
      <w:pPr>
        <w:spacing w:line="276" w:lineRule="auto"/>
        <w:rPr>
          <w:rFonts w:ascii="Arial" w:hAnsi="Arial" w:cs="Arial"/>
          <w:b/>
          <w:bCs/>
          <w:sz w:val="20"/>
          <w:szCs w:val="20"/>
        </w:rPr>
      </w:pPr>
      <w:r w:rsidRPr="00BA1B7B">
        <w:rPr>
          <w:rFonts w:ascii="Arial" w:hAnsi="Arial" w:cs="Arial"/>
          <w:sz w:val="20"/>
          <w:szCs w:val="20"/>
        </w:rPr>
        <w:t>Investigations to consider include:</w:t>
      </w:r>
      <w:r w:rsidRPr="00BA1B7B">
        <w:rPr>
          <w:rFonts w:ascii="Arial" w:hAnsi="Arial" w:cs="Arial"/>
          <w:sz w:val="20"/>
          <w:szCs w:val="20"/>
        </w:rPr>
        <w:br/>
      </w:r>
      <w:r w:rsidRPr="00BA1B7B">
        <w:rPr>
          <w:rFonts w:ascii="Arial" w:hAnsi="Arial" w:cs="Arial"/>
          <w:b/>
          <w:bCs/>
          <w:sz w:val="20"/>
          <w:szCs w:val="20"/>
        </w:rPr>
        <w:t>Chlamydia</w:t>
      </w:r>
      <w:r w:rsidRPr="00BA1B7B">
        <w:rPr>
          <w:rFonts w:ascii="Arial" w:hAnsi="Arial" w:cs="Arial"/>
          <w:sz w:val="20"/>
          <w:szCs w:val="20"/>
        </w:rPr>
        <w:t xml:space="preserve"> (urine sample or cervical swab) – The current national recommendation is that all women under the age of 25 are offered routine screening at their first visit. Women identified as high-risk populations (for example Aboriginal or Torres Strait islander peoples) or are symptomatic for chlamydia should also be offered screening.  Women should be informed on the increased association between untreated chlamydia and preterm birth and low birth weight, and that it is easily treated with antibiotics.</w:t>
      </w:r>
    </w:p>
    <w:p w14:paraId="22E79181"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NB:  Women who self-identify as being at higher risk for sexually transmitted infections and infectious diseases, such as those employed in the sex industry or those with multiple partners should be offered re-screening for syphilis and chlamydia in the third trimester. </w:t>
      </w:r>
    </w:p>
    <w:p w14:paraId="6C5FEA88" w14:textId="77777777" w:rsidR="004B7887" w:rsidRPr="00BA1B7B" w:rsidRDefault="004B7887" w:rsidP="00823C57">
      <w:pPr>
        <w:spacing w:line="276" w:lineRule="auto"/>
        <w:rPr>
          <w:rFonts w:ascii="Arial" w:hAnsi="Arial" w:cs="Arial"/>
          <w:b/>
          <w:bCs/>
          <w:sz w:val="20"/>
          <w:szCs w:val="20"/>
        </w:rPr>
      </w:pPr>
    </w:p>
    <w:p w14:paraId="28C5D5A3" w14:textId="45370FA4"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Vitamin D level</w:t>
      </w:r>
      <w:r w:rsidRPr="00BA1B7B">
        <w:rPr>
          <w:rFonts w:ascii="Arial" w:hAnsi="Arial" w:cs="Arial"/>
          <w:sz w:val="20"/>
          <w:szCs w:val="20"/>
        </w:rPr>
        <w:t xml:space="preserve"> – RANZCOG and the 2020 Clinical Practice Pregnancy Care Guidelines do not recommend routine Vitamin D testing. </w:t>
      </w:r>
    </w:p>
    <w:p w14:paraId="48A1848A"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lastRenderedPageBreak/>
        <w:t xml:space="preserve">Testing should only occur for the highest risk group which includes indigenous women, dark-skinned women or women who frequently cover up outside. </w:t>
      </w:r>
    </w:p>
    <w:p w14:paraId="7766700E"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If testing is performed, only recommend vitamin D supplementation for women with vitamin D levels lower than 50 mmol/L.</w:t>
      </w:r>
    </w:p>
    <w:p w14:paraId="2FE5C5B1" w14:textId="77777777" w:rsidR="00823C57" w:rsidRPr="00BA1B7B" w:rsidRDefault="00823C57" w:rsidP="00823C57">
      <w:pPr>
        <w:spacing w:line="276" w:lineRule="auto"/>
        <w:rPr>
          <w:rFonts w:ascii="Arial" w:hAnsi="Arial" w:cs="Arial"/>
          <w:b/>
          <w:bCs/>
          <w:i/>
          <w:iCs/>
          <w:sz w:val="20"/>
          <w:szCs w:val="20"/>
          <w:u w:val="single"/>
        </w:rPr>
      </w:pPr>
    </w:p>
    <w:p w14:paraId="1CDDF3D7"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Varicella antibodies</w:t>
      </w:r>
      <w:r w:rsidRPr="00BA1B7B">
        <w:rPr>
          <w:rFonts w:ascii="Arial" w:hAnsi="Arial" w:cs="Arial"/>
          <w:sz w:val="20"/>
          <w:szCs w:val="20"/>
        </w:rPr>
        <w:t xml:space="preserve"> – Women should be asked when booking in of their previous medical history in regards to chicken pox/shingles infection. A varicella antibodies screening test will determine the presence of past infection/immunization. </w:t>
      </w:r>
    </w:p>
    <w:p w14:paraId="09E03F19"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Women, who have never had chicken pox or are known to be sero-negative, should be advised to avoid contact with any persons with chickenpox or shingles whilst pregnant and to inform their healthcare provider of any potential exposures without delay. Post birth – women who are non-immune to chicken pox should be encouraged to be immunized through their GP. </w:t>
      </w:r>
    </w:p>
    <w:p w14:paraId="7AE15A33" w14:textId="77777777" w:rsidR="00823C57" w:rsidRPr="00BA1B7B" w:rsidRDefault="00823C57" w:rsidP="00823C57">
      <w:pPr>
        <w:spacing w:line="276" w:lineRule="auto"/>
        <w:rPr>
          <w:rFonts w:ascii="Arial" w:hAnsi="Arial" w:cs="Arial"/>
          <w:sz w:val="20"/>
          <w:szCs w:val="20"/>
        </w:rPr>
      </w:pPr>
    </w:p>
    <w:p w14:paraId="324E589B"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 xml:space="preserve">Early Glucose tolerance test (GTT) – </w:t>
      </w:r>
    </w:p>
    <w:p w14:paraId="02A9F260"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Where there are *high risk factors * for gestational diabetes (GDM) women should be screened as early as possible for GDM, with gold standard practise being that of an OGTT. </w:t>
      </w:r>
    </w:p>
    <w:p w14:paraId="180BDA54" w14:textId="14D260F0" w:rsidR="00823C57" w:rsidRPr="00BA1B7B" w:rsidRDefault="00823C57" w:rsidP="00823C57">
      <w:pPr>
        <w:spacing w:line="276" w:lineRule="auto"/>
        <w:rPr>
          <w:rFonts w:ascii="Arial" w:hAnsi="Arial" w:cs="Arial"/>
          <w:sz w:val="20"/>
          <w:szCs w:val="20"/>
        </w:rPr>
      </w:pPr>
    </w:p>
    <w:p w14:paraId="19C37999"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The 75g Oral Glucose Tolerance Test (OGTT) is a 2-hour fasting test and is considered the current gold standard for diagnosis. Women should be instructed to fast for 12 hours prior to the test. A fasting plasma glucose is measured, before women are required to drink a 75gram glucose drink, and have their plasma glucose levels rechecked 1 hour and 2 hours post consumption. </w:t>
      </w:r>
    </w:p>
    <w:p w14:paraId="7B1C9515" w14:textId="77777777" w:rsidR="00823C57" w:rsidRPr="00BA1B7B" w:rsidRDefault="00823C57" w:rsidP="00823C57">
      <w:pPr>
        <w:spacing w:line="276" w:lineRule="auto"/>
        <w:rPr>
          <w:rFonts w:ascii="Arial" w:eastAsia="Times New Roman" w:hAnsi="Arial" w:cs="Arial"/>
          <w:b/>
          <w:sz w:val="20"/>
          <w:szCs w:val="20"/>
          <w:lang w:eastAsia="en-AU"/>
        </w:rPr>
      </w:pPr>
      <w:r w:rsidRPr="00BA1B7B">
        <w:rPr>
          <w:rFonts w:ascii="Arial" w:eastAsia="Times New Roman" w:hAnsi="Arial" w:cs="Arial"/>
          <w:sz w:val="20"/>
          <w:szCs w:val="20"/>
          <w:lang w:eastAsia="en-AU"/>
        </w:rPr>
        <w:t xml:space="preserve">Diagnosis of Gestational diabetes at Eastern Health is made if </w:t>
      </w:r>
      <w:r w:rsidRPr="00BA1B7B">
        <w:rPr>
          <w:rFonts w:ascii="Arial" w:eastAsia="Times New Roman" w:hAnsi="Arial" w:cs="Arial"/>
          <w:b/>
          <w:bCs/>
          <w:sz w:val="20"/>
          <w:szCs w:val="20"/>
          <w:lang w:eastAsia="en-AU"/>
        </w:rPr>
        <w:t>one or more</w:t>
      </w:r>
      <w:r w:rsidRPr="00BA1B7B">
        <w:rPr>
          <w:rFonts w:ascii="Arial" w:eastAsia="Times New Roman" w:hAnsi="Arial" w:cs="Arial"/>
          <w:sz w:val="20"/>
          <w:szCs w:val="20"/>
          <w:lang w:eastAsia="en-AU"/>
        </w:rPr>
        <w:t xml:space="preserve"> of the following glucose levels are elevated</w:t>
      </w:r>
      <w:r w:rsidRPr="00BA1B7B">
        <w:rPr>
          <w:rFonts w:ascii="Arial" w:eastAsia="Times New Roman" w:hAnsi="Arial" w:cs="Arial"/>
          <w:b/>
          <w:sz w:val="20"/>
          <w:szCs w:val="20"/>
          <w:lang w:eastAsia="en-AU"/>
        </w:rPr>
        <w:t>;</w:t>
      </w:r>
    </w:p>
    <w:tbl>
      <w:tblPr>
        <w:tblStyle w:val="TableGrid"/>
        <w:tblW w:w="0" w:type="auto"/>
        <w:tblInd w:w="2262" w:type="dxa"/>
        <w:tblLook w:val="04A0" w:firstRow="1" w:lastRow="0" w:firstColumn="1" w:lastColumn="0" w:noHBand="0" w:noVBand="1"/>
      </w:tblPr>
      <w:tblGrid>
        <w:gridCol w:w="4437"/>
      </w:tblGrid>
      <w:tr w:rsidR="00823C57" w:rsidRPr="00BA1B7B" w14:paraId="40AD1126" w14:textId="77777777" w:rsidTr="00D64801">
        <w:trPr>
          <w:trHeight w:val="286"/>
        </w:trPr>
        <w:tc>
          <w:tcPr>
            <w:tcW w:w="4437" w:type="dxa"/>
          </w:tcPr>
          <w:p w14:paraId="129030CE" w14:textId="77777777" w:rsidR="00823C57" w:rsidRPr="00BA1B7B" w:rsidRDefault="00823C57" w:rsidP="00D64801">
            <w:pPr>
              <w:spacing w:line="276" w:lineRule="auto"/>
              <w:ind w:left="405"/>
              <w:rPr>
                <w:rFonts w:ascii="Arial" w:eastAsia="Times New Roman" w:hAnsi="Arial" w:cs="Arial"/>
                <w:b/>
                <w:sz w:val="20"/>
                <w:szCs w:val="20"/>
                <w:lang w:eastAsia="en-AU"/>
              </w:rPr>
            </w:pPr>
            <w:r w:rsidRPr="00BA1B7B">
              <w:rPr>
                <w:rFonts w:ascii="Arial" w:eastAsia="Times New Roman" w:hAnsi="Arial" w:cs="Arial"/>
                <w:b/>
                <w:sz w:val="20"/>
                <w:szCs w:val="20"/>
                <w:lang w:eastAsia="en-AU"/>
              </w:rPr>
              <w:t xml:space="preserve">Fasting glucose </w:t>
            </w:r>
            <w:r w:rsidRPr="00BA1B7B">
              <w:rPr>
                <w:rFonts w:ascii="Arial" w:eastAsia="Times New Roman" w:hAnsi="Arial" w:cs="Arial"/>
                <w:b/>
                <w:sz w:val="20"/>
                <w:szCs w:val="20"/>
                <w:lang w:eastAsia="en-AU"/>
              </w:rPr>
              <w:tab/>
              <w:t>≥ 5.1 mmol/L</w:t>
            </w:r>
          </w:p>
        </w:tc>
      </w:tr>
      <w:tr w:rsidR="00823C57" w:rsidRPr="00BA1B7B" w14:paraId="6C865409" w14:textId="77777777" w:rsidTr="00D64801">
        <w:trPr>
          <w:trHeight w:val="301"/>
        </w:trPr>
        <w:tc>
          <w:tcPr>
            <w:tcW w:w="4437" w:type="dxa"/>
          </w:tcPr>
          <w:p w14:paraId="4A77AF21" w14:textId="77777777" w:rsidR="00823C57" w:rsidRPr="00BA1B7B" w:rsidRDefault="00823C57" w:rsidP="00D64801">
            <w:pPr>
              <w:spacing w:line="276" w:lineRule="auto"/>
              <w:ind w:left="405"/>
              <w:rPr>
                <w:rFonts w:ascii="Arial" w:eastAsia="Times New Roman" w:hAnsi="Arial" w:cs="Arial"/>
                <w:b/>
                <w:sz w:val="20"/>
                <w:szCs w:val="20"/>
                <w:lang w:eastAsia="en-AU"/>
              </w:rPr>
            </w:pPr>
            <w:r w:rsidRPr="00BA1B7B">
              <w:rPr>
                <w:rFonts w:ascii="Arial" w:eastAsia="Times New Roman" w:hAnsi="Arial" w:cs="Arial"/>
                <w:b/>
                <w:sz w:val="20"/>
                <w:szCs w:val="20"/>
                <w:lang w:eastAsia="en-AU"/>
              </w:rPr>
              <w:t xml:space="preserve">1-hr glucose </w:t>
            </w:r>
            <w:r w:rsidRPr="00BA1B7B">
              <w:rPr>
                <w:rFonts w:ascii="Arial" w:eastAsia="Times New Roman" w:hAnsi="Arial" w:cs="Arial"/>
                <w:b/>
                <w:sz w:val="20"/>
                <w:szCs w:val="20"/>
                <w:lang w:eastAsia="en-AU"/>
              </w:rPr>
              <w:tab/>
              <w:t xml:space="preserve">≥ 10.0 mmol/L </w:t>
            </w:r>
          </w:p>
        </w:tc>
      </w:tr>
      <w:tr w:rsidR="00823C57" w:rsidRPr="00BA1B7B" w14:paraId="1BE7F539" w14:textId="77777777" w:rsidTr="00D64801">
        <w:trPr>
          <w:trHeight w:val="301"/>
        </w:trPr>
        <w:tc>
          <w:tcPr>
            <w:tcW w:w="4437" w:type="dxa"/>
          </w:tcPr>
          <w:p w14:paraId="7852CF4F" w14:textId="77777777" w:rsidR="00823C57" w:rsidRPr="00BA1B7B" w:rsidRDefault="00823C57" w:rsidP="00D64801">
            <w:pPr>
              <w:spacing w:line="276" w:lineRule="auto"/>
              <w:ind w:left="405"/>
              <w:rPr>
                <w:rFonts w:ascii="Arial" w:eastAsia="Times New Roman" w:hAnsi="Arial" w:cs="Arial"/>
                <w:b/>
                <w:sz w:val="20"/>
                <w:szCs w:val="20"/>
                <w:lang w:eastAsia="en-AU"/>
              </w:rPr>
            </w:pPr>
            <w:r w:rsidRPr="00BA1B7B">
              <w:rPr>
                <w:rFonts w:ascii="Arial" w:eastAsia="Times New Roman" w:hAnsi="Arial" w:cs="Arial"/>
                <w:b/>
                <w:sz w:val="20"/>
                <w:szCs w:val="20"/>
                <w:lang w:eastAsia="en-AU"/>
              </w:rPr>
              <w:t xml:space="preserve">2-hr glucose </w:t>
            </w:r>
            <w:r w:rsidRPr="00BA1B7B">
              <w:rPr>
                <w:rFonts w:ascii="Arial" w:eastAsia="Times New Roman" w:hAnsi="Arial" w:cs="Arial"/>
                <w:b/>
                <w:sz w:val="20"/>
                <w:szCs w:val="20"/>
                <w:lang w:eastAsia="en-AU"/>
              </w:rPr>
              <w:tab/>
              <w:t>≥ 8.5 mmol/L</w:t>
            </w:r>
          </w:p>
        </w:tc>
      </w:tr>
    </w:tbl>
    <w:p w14:paraId="2CB7585C" w14:textId="77777777" w:rsidR="00823C57" w:rsidRPr="00BA1B7B" w:rsidRDefault="00823C57" w:rsidP="00823C57">
      <w:pPr>
        <w:spacing w:line="276" w:lineRule="auto"/>
        <w:rPr>
          <w:rFonts w:ascii="Arial" w:eastAsia="Times New Roman" w:hAnsi="Arial" w:cs="Arial"/>
          <w:sz w:val="20"/>
          <w:szCs w:val="20"/>
          <w:lang w:eastAsia="en-AU"/>
        </w:rPr>
      </w:pPr>
    </w:p>
    <w:p w14:paraId="10C5944C"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**For an extensive breakdown of risk factors for gestational diabetes and the recommended testing schedule and management see section 7.1 p43 of this guide – Gestational diabetes**</w:t>
      </w:r>
    </w:p>
    <w:p w14:paraId="06D6D70B" w14:textId="77777777" w:rsidR="00823C57" w:rsidRPr="00BA1B7B" w:rsidRDefault="00823C57" w:rsidP="00823C57">
      <w:pPr>
        <w:spacing w:line="276" w:lineRule="auto"/>
        <w:rPr>
          <w:rFonts w:ascii="Arial" w:hAnsi="Arial" w:cs="Arial"/>
          <w:sz w:val="20"/>
          <w:szCs w:val="20"/>
        </w:rPr>
      </w:pPr>
    </w:p>
    <w:p w14:paraId="7B0473A5"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For women at risk of hypertension or pre-eclampsia in pregnancy; Renal function and urinary Pr:Cr ratio</w:t>
      </w:r>
    </w:p>
    <w:p w14:paraId="74D5790C" w14:textId="77777777" w:rsidR="00823C57" w:rsidRPr="00BA1B7B" w:rsidRDefault="00823C57" w:rsidP="00823C57">
      <w:pPr>
        <w:spacing w:line="276" w:lineRule="auto"/>
        <w:rPr>
          <w:rFonts w:ascii="Arial" w:hAnsi="Arial" w:cs="Arial"/>
          <w:sz w:val="20"/>
          <w:szCs w:val="20"/>
        </w:rPr>
      </w:pPr>
    </w:p>
    <w:p w14:paraId="3C91C828"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Thyroid stimulating hormone (TSH)</w:t>
      </w:r>
      <w:r w:rsidRPr="00BA1B7B">
        <w:rPr>
          <w:rFonts w:ascii="Arial" w:hAnsi="Arial" w:cs="Arial"/>
          <w:sz w:val="20"/>
          <w:szCs w:val="20"/>
        </w:rPr>
        <w:t xml:space="preserve"> – Routine thyroid testing of all women is not recommended in pregnancy. </w:t>
      </w:r>
    </w:p>
    <w:p w14:paraId="3FB877AE"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Testing is only indicated for women with one or more of the following factors;</w:t>
      </w:r>
    </w:p>
    <w:p w14:paraId="22D41D30" w14:textId="77777777" w:rsidR="00823C57" w:rsidRPr="00BA1B7B" w:rsidRDefault="00823C57" w:rsidP="004A22FD">
      <w:pPr>
        <w:pStyle w:val="ListParagraph"/>
        <w:numPr>
          <w:ilvl w:val="0"/>
          <w:numId w:val="22"/>
        </w:numPr>
        <w:spacing w:line="276" w:lineRule="auto"/>
        <w:rPr>
          <w:rFonts w:ascii="Arial" w:hAnsi="Arial" w:cs="Arial"/>
          <w:sz w:val="20"/>
          <w:szCs w:val="20"/>
        </w:rPr>
      </w:pPr>
      <w:r w:rsidRPr="00BA1B7B">
        <w:rPr>
          <w:rFonts w:ascii="Arial" w:hAnsi="Arial" w:cs="Arial"/>
          <w:sz w:val="20"/>
          <w:szCs w:val="20"/>
        </w:rPr>
        <w:t>A history of thyroid dysfunction or surgery</w:t>
      </w:r>
    </w:p>
    <w:p w14:paraId="3E707F26" w14:textId="77777777" w:rsidR="00823C57" w:rsidRPr="00BA1B7B" w:rsidRDefault="00823C57" w:rsidP="004A22FD">
      <w:pPr>
        <w:pStyle w:val="ListParagraph"/>
        <w:numPr>
          <w:ilvl w:val="0"/>
          <w:numId w:val="22"/>
        </w:numPr>
        <w:spacing w:line="276" w:lineRule="auto"/>
        <w:rPr>
          <w:rFonts w:ascii="Arial" w:hAnsi="Arial" w:cs="Arial"/>
          <w:sz w:val="20"/>
          <w:szCs w:val="20"/>
        </w:rPr>
      </w:pPr>
      <w:r w:rsidRPr="00BA1B7B">
        <w:rPr>
          <w:rFonts w:ascii="Arial" w:hAnsi="Arial" w:cs="Arial"/>
          <w:sz w:val="20"/>
          <w:szCs w:val="20"/>
        </w:rPr>
        <w:t xml:space="preserve"> Family history of thyroid disease</w:t>
      </w:r>
    </w:p>
    <w:p w14:paraId="7CCA9DEE" w14:textId="77777777" w:rsidR="00823C57" w:rsidRPr="00BA1B7B" w:rsidRDefault="00823C57" w:rsidP="004A22FD">
      <w:pPr>
        <w:pStyle w:val="ListParagraph"/>
        <w:numPr>
          <w:ilvl w:val="0"/>
          <w:numId w:val="22"/>
        </w:numPr>
        <w:tabs>
          <w:tab w:val="left" w:pos="1110"/>
        </w:tabs>
        <w:spacing w:line="276" w:lineRule="auto"/>
        <w:rPr>
          <w:rFonts w:ascii="Arial" w:hAnsi="Arial" w:cs="Arial"/>
          <w:sz w:val="20"/>
          <w:szCs w:val="20"/>
        </w:rPr>
      </w:pPr>
      <w:r w:rsidRPr="00BA1B7B">
        <w:rPr>
          <w:rFonts w:ascii="Arial" w:hAnsi="Arial" w:cs="Arial"/>
          <w:sz w:val="20"/>
          <w:szCs w:val="20"/>
        </w:rPr>
        <w:t>Goitre</w:t>
      </w:r>
      <w:r w:rsidRPr="00BA1B7B">
        <w:rPr>
          <w:rFonts w:ascii="Arial" w:hAnsi="Arial" w:cs="Arial"/>
          <w:sz w:val="20"/>
          <w:szCs w:val="20"/>
        </w:rPr>
        <w:tab/>
      </w:r>
    </w:p>
    <w:p w14:paraId="0419BE75"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Antithyroid antibodies present</w:t>
      </w:r>
    </w:p>
    <w:p w14:paraId="6AAC3FE1"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Symptoms or signs of hypothyroidism or hyperthyroidism</w:t>
      </w:r>
    </w:p>
    <w:p w14:paraId="6D1B8F79"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Women with type 1 diabetes</w:t>
      </w:r>
    </w:p>
    <w:p w14:paraId="555C1502"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History of miscarriage or preterm delivery</w:t>
      </w:r>
    </w:p>
    <w:p w14:paraId="489ED7E6"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Autoimmune disorder (including coeliac disease)</w:t>
      </w:r>
    </w:p>
    <w:p w14:paraId="10CD7B28"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Infertility</w:t>
      </w:r>
    </w:p>
    <w:p w14:paraId="35FA76E3"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lastRenderedPageBreak/>
        <w:t>Prior head or neck irradiation</w:t>
      </w:r>
    </w:p>
    <w:p w14:paraId="64AFB5A2"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Morbid obesity (BMI&gt;40)</w:t>
      </w:r>
    </w:p>
    <w:p w14:paraId="43D7F985"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Age 30 years or older</w:t>
      </w:r>
    </w:p>
    <w:p w14:paraId="4F8C2BD9"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Treatment with amiodarone</w:t>
      </w:r>
    </w:p>
    <w:p w14:paraId="4F7AF714"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Treatment with lithium</w:t>
      </w:r>
    </w:p>
    <w:p w14:paraId="3B658C8A" w14:textId="77777777" w:rsidR="00823C57" w:rsidRPr="00BA1B7B" w:rsidRDefault="00823C57" w:rsidP="004A22FD">
      <w:pPr>
        <w:pStyle w:val="ListParagraph"/>
        <w:numPr>
          <w:ilvl w:val="0"/>
          <w:numId w:val="23"/>
        </w:numPr>
        <w:spacing w:line="276" w:lineRule="auto"/>
        <w:rPr>
          <w:rFonts w:ascii="Arial" w:hAnsi="Arial" w:cs="Arial"/>
          <w:sz w:val="20"/>
          <w:szCs w:val="20"/>
        </w:rPr>
      </w:pPr>
      <w:r w:rsidRPr="00BA1B7B">
        <w:rPr>
          <w:rFonts w:ascii="Arial" w:hAnsi="Arial" w:cs="Arial"/>
          <w:sz w:val="20"/>
          <w:szCs w:val="20"/>
        </w:rPr>
        <w:t>Recent exposure to iodinated contrast</w:t>
      </w:r>
    </w:p>
    <w:p w14:paraId="41CD4E8B" w14:textId="77777777" w:rsidR="00823C57" w:rsidRPr="00BA1B7B" w:rsidRDefault="00823C57" w:rsidP="00823C57">
      <w:pPr>
        <w:spacing w:line="276" w:lineRule="auto"/>
        <w:rPr>
          <w:rFonts w:ascii="Arial" w:hAnsi="Arial" w:cs="Arial"/>
          <w:sz w:val="20"/>
          <w:szCs w:val="20"/>
        </w:rPr>
      </w:pPr>
    </w:p>
    <w:p w14:paraId="7C4AFE1D"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Cervical Screening</w:t>
      </w:r>
      <w:r w:rsidRPr="00BA1B7B">
        <w:rPr>
          <w:rFonts w:ascii="Arial" w:hAnsi="Arial" w:cs="Arial"/>
          <w:sz w:val="20"/>
          <w:szCs w:val="20"/>
        </w:rPr>
        <w:t xml:space="preserve"> – if a woman is due for a screening test as specified by the National Cervical Screening Program. Screening can safely be performed up to 20 weeks gestation provided the cytobroom and </w:t>
      </w:r>
      <w:r w:rsidRPr="00BA1B7B">
        <w:rPr>
          <w:rFonts w:ascii="Arial" w:hAnsi="Arial" w:cs="Arial"/>
          <w:b/>
          <w:sz w:val="20"/>
          <w:szCs w:val="20"/>
        </w:rPr>
        <w:t>NOT</w:t>
      </w:r>
      <w:r w:rsidRPr="00BA1B7B">
        <w:rPr>
          <w:rFonts w:ascii="Arial" w:hAnsi="Arial" w:cs="Arial"/>
          <w:sz w:val="20"/>
          <w:szCs w:val="20"/>
        </w:rPr>
        <w:t xml:space="preserve"> the endocervical brush is used. </w:t>
      </w:r>
    </w:p>
    <w:p w14:paraId="799CE4D2" w14:textId="77777777" w:rsidR="00E009F0" w:rsidRPr="00BA1B7B" w:rsidRDefault="00823C57" w:rsidP="00823C57">
      <w:pPr>
        <w:spacing w:line="276" w:lineRule="auto"/>
        <w:rPr>
          <w:rFonts w:ascii="Arial" w:hAnsi="Arial" w:cs="Arial"/>
          <w:sz w:val="20"/>
          <w:szCs w:val="20"/>
        </w:rPr>
      </w:pPr>
      <w:r w:rsidRPr="00BA1B7B">
        <w:rPr>
          <w:rFonts w:ascii="Arial" w:hAnsi="Arial" w:cs="Arial"/>
          <w:sz w:val="20"/>
          <w:szCs w:val="20"/>
        </w:rPr>
        <w:t>For women who have never been screened or are under-screened and meet criteria, consider offering ‘self-collection’ as outlined by Cancer Council Australia Cervical Screening Guidelines.</w:t>
      </w:r>
    </w:p>
    <w:p w14:paraId="78441D8B" w14:textId="75452B59" w:rsidR="00823C57" w:rsidRPr="00BA1B7B" w:rsidRDefault="00823C57" w:rsidP="00823C57">
      <w:pPr>
        <w:spacing w:line="276" w:lineRule="auto"/>
        <w:rPr>
          <w:rStyle w:val="Hyperlink"/>
          <w:rFonts w:ascii="Arial" w:hAnsi="Arial" w:cs="Arial"/>
          <w:color w:val="auto"/>
          <w:sz w:val="20"/>
          <w:szCs w:val="20"/>
          <w:u w:val="none"/>
        </w:rPr>
      </w:pPr>
      <w:r w:rsidRPr="00BA1B7B">
        <w:rPr>
          <w:rFonts w:ascii="Arial" w:hAnsi="Arial" w:cs="Arial"/>
          <w:sz w:val="20"/>
          <w:szCs w:val="20"/>
        </w:rPr>
        <w:t xml:space="preserve">Refer to the Cancer Council Australia Cervical Screening Guidelines for further advice. </w:t>
      </w:r>
      <w:hyperlink r:id="rId78" w:history="1">
        <w:r w:rsidRPr="00BA1B7B">
          <w:rPr>
            <w:rStyle w:val="Hyperlink"/>
            <w:rFonts w:ascii="Arial" w:hAnsi="Arial" w:cs="Arial"/>
            <w:color w:val="auto"/>
            <w:sz w:val="20"/>
            <w:szCs w:val="20"/>
          </w:rPr>
          <w:t>https://wiki.cancer.org.au/australia/Clinical_question:Screening_in_pregnancy</w:t>
        </w:r>
      </w:hyperlink>
    </w:p>
    <w:p w14:paraId="682E6052" w14:textId="77777777" w:rsidR="00823C57" w:rsidRPr="00BA1B7B" w:rsidRDefault="00823C57" w:rsidP="00823C57">
      <w:pPr>
        <w:spacing w:line="276" w:lineRule="auto"/>
        <w:rPr>
          <w:rFonts w:ascii="Arial" w:hAnsi="Arial" w:cs="Arial"/>
          <w:sz w:val="20"/>
          <w:szCs w:val="20"/>
        </w:rPr>
      </w:pPr>
    </w:p>
    <w:p w14:paraId="56320952"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 xml:space="preserve">Dating Scans </w:t>
      </w:r>
      <w:r w:rsidRPr="00BA1B7B">
        <w:rPr>
          <w:rFonts w:ascii="Arial" w:hAnsi="Arial" w:cs="Arial"/>
          <w:sz w:val="20"/>
          <w:szCs w:val="20"/>
        </w:rPr>
        <w:t xml:space="preserve">- If there is uncertainty about EDC, then a dating scan should be offered. This should occur between 8 weeks and 0 days and 13 weeks 6 days. This scan can be used to determine gestational age, detect multiple pregnancies and accurately time fetal anomaly testing. </w:t>
      </w:r>
    </w:p>
    <w:p w14:paraId="589C7F55" w14:textId="77777777" w:rsidR="00823C57" w:rsidRPr="00BA1B7B" w:rsidRDefault="00823C57" w:rsidP="00823C57">
      <w:pPr>
        <w:spacing w:line="276" w:lineRule="auto"/>
        <w:rPr>
          <w:rFonts w:ascii="Arial" w:hAnsi="Arial" w:cs="Arial"/>
          <w:sz w:val="20"/>
          <w:szCs w:val="20"/>
        </w:rPr>
      </w:pPr>
    </w:p>
    <w:p w14:paraId="06CDB2FA" w14:textId="77777777" w:rsidR="00823C57" w:rsidRPr="00BA1B7B" w:rsidRDefault="00A97F97" w:rsidP="00823C57">
      <w:pPr>
        <w:spacing w:line="276" w:lineRule="auto"/>
        <w:rPr>
          <w:rFonts w:ascii="Arial" w:hAnsi="Arial" w:cs="Arial"/>
          <w:sz w:val="20"/>
          <w:szCs w:val="20"/>
        </w:rPr>
      </w:pPr>
      <w:hyperlink r:id="rId79" w:history="1">
        <w:r w:rsidR="00823C57" w:rsidRPr="00BA1B7B">
          <w:rPr>
            <w:rStyle w:val="Hyperlink"/>
            <w:rFonts w:ascii="Arial" w:hAnsi="Arial" w:cs="Arial"/>
            <w:color w:val="auto"/>
            <w:sz w:val="20"/>
            <w:szCs w:val="20"/>
          </w:rPr>
          <w:t>https://www.health.gov.au/resources/pregnancy-care-guidelines/part-d-clinical-assessments/gestational-age</w:t>
        </w:r>
      </w:hyperlink>
    </w:p>
    <w:p w14:paraId="1C57E528" w14:textId="77777777" w:rsidR="00823C57" w:rsidRPr="00BA1B7B" w:rsidRDefault="00823C57" w:rsidP="00823C57">
      <w:pPr>
        <w:spacing w:line="276" w:lineRule="auto"/>
        <w:rPr>
          <w:rFonts w:ascii="Arial" w:hAnsi="Arial" w:cs="Arial"/>
          <w:sz w:val="20"/>
          <w:szCs w:val="20"/>
        </w:rPr>
      </w:pPr>
    </w:p>
    <w:p w14:paraId="72FEFC2E" w14:textId="0E2DB50E" w:rsidR="00823C57" w:rsidRPr="00BA1B7B" w:rsidRDefault="00823C57"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50" w:name="_Toc120614296"/>
      <w:r w:rsidRPr="00BA1B7B">
        <w:rPr>
          <w:rFonts w:ascii="Arial" w:eastAsia="Times New Roman" w:hAnsi="Arial" w:cs="Arial"/>
          <w:b/>
          <w:bCs/>
          <w:sz w:val="20"/>
          <w:szCs w:val="20"/>
          <w:lang w:eastAsia="en-AU"/>
        </w:rPr>
        <w:t>5.3 Genetic/Chromosomal Abnormality Screening in Pregnancy</w:t>
      </w:r>
      <w:bookmarkEnd w:id="50"/>
    </w:p>
    <w:p w14:paraId="3B1D69F2"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All women regardless of age, religion, ethnicity or medical history should be appropriately counselled and offered genetic and fetal abnormality screening in their pregnancy. This should ideally be performed within the first trimester. This enables women time to make an informed decision, discuss the possible implications of screening and next steps. </w:t>
      </w:r>
    </w:p>
    <w:p w14:paraId="72763EDB"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Given the sensitive nature of genetic testing, when counselling women and their partners/families over the possible implications of genetic screening, it is important to differentiate between screening and diagnostic testing. </w:t>
      </w:r>
    </w:p>
    <w:p w14:paraId="3D563E83"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The majority of women who choose to partake in testing will require Genetic Screening only. In Australia, the most common genetic screening tests undertaken are;</w:t>
      </w:r>
    </w:p>
    <w:p w14:paraId="30A8F13F" w14:textId="77777777" w:rsidR="00823C57" w:rsidRPr="00BA1B7B" w:rsidRDefault="00823C57" w:rsidP="004A22FD">
      <w:pPr>
        <w:pStyle w:val="ListParagraph"/>
        <w:numPr>
          <w:ilvl w:val="0"/>
          <w:numId w:val="20"/>
        </w:numPr>
        <w:spacing w:line="276" w:lineRule="auto"/>
        <w:rPr>
          <w:rFonts w:ascii="Arial" w:hAnsi="Arial" w:cs="Arial"/>
          <w:sz w:val="20"/>
          <w:szCs w:val="20"/>
        </w:rPr>
      </w:pPr>
      <w:r w:rsidRPr="00BA1B7B">
        <w:rPr>
          <w:rFonts w:ascii="Arial" w:hAnsi="Arial" w:cs="Arial"/>
          <w:sz w:val="20"/>
          <w:szCs w:val="20"/>
        </w:rPr>
        <w:t>Down Syndrome (Trisomy 21)</w:t>
      </w:r>
    </w:p>
    <w:p w14:paraId="5C3BC691" w14:textId="77777777" w:rsidR="00823C57" w:rsidRPr="00BA1B7B" w:rsidRDefault="00823C57" w:rsidP="004A22FD">
      <w:pPr>
        <w:pStyle w:val="ListParagraph"/>
        <w:numPr>
          <w:ilvl w:val="0"/>
          <w:numId w:val="20"/>
        </w:numPr>
        <w:spacing w:line="276" w:lineRule="auto"/>
        <w:rPr>
          <w:rFonts w:ascii="Arial" w:hAnsi="Arial" w:cs="Arial"/>
          <w:sz w:val="20"/>
          <w:szCs w:val="20"/>
        </w:rPr>
      </w:pPr>
      <w:r w:rsidRPr="00BA1B7B">
        <w:rPr>
          <w:rFonts w:ascii="Arial" w:hAnsi="Arial" w:cs="Arial"/>
          <w:sz w:val="20"/>
          <w:szCs w:val="20"/>
        </w:rPr>
        <w:t>Edwards Syndrome (Trisomy 18)</w:t>
      </w:r>
    </w:p>
    <w:p w14:paraId="7C3D89DB" w14:textId="77777777" w:rsidR="00823C57" w:rsidRPr="00BA1B7B" w:rsidRDefault="00823C57" w:rsidP="004A22FD">
      <w:pPr>
        <w:pStyle w:val="ListParagraph"/>
        <w:numPr>
          <w:ilvl w:val="0"/>
          <w:numId w:val="20"/>
        </w:numPr>
        <w:spacing w:line="276" w:lineRule="auto"/>
        <w:rPr>
          <w:rFonts w:ascii="Arial" w:hAnsi="Arial" w:cs="Arial"/>
          <w:sz w:val="20"/>
          <w:szCs w:val="20"/>
        </w:rPr>
      </w:pPr>
      <w:r w:rsidRPr="00BA1B7B">
        <w:rPr>
          <w:rFonts w:ascii="Arial" w:hAnsi="Arial" w:cs="Arial"/>
          <w:sz w:val="20"/>
          <w:szCs w:val="20"/>
        </w:rPr>
        <w:t>Patau Syndrome (Trisomy 13)</w:t>
      </w:r>
    </w:p>
    <w:p w14:paraId="5FDE86F3"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These tests provide women with an individualised risk assessment for the likelihood of their baby having one of these conditions based on a scan, blood test result, and factors such as the women’s age, smoking status and family medical history. </w:t>
      </w:r>
    </w:p>
    <w:p w14:paraId="76EC03CC" w14:textId="77777777" w:rsidR="00823C57" w:rsidRPr="00BA1B7B" w:rsidRDefault="00823C57" w:rsidP="00823C57">
      <w:pPr>
        <w:spacing w:line="276" w:lineRule="auto"/>
        <w:rPr>
          <w:rFonts w:ascii="Arial" w:hAnsi="Arial" w:cs="Arial"/>
          <w:sz w:val="20"/>
          <w:szCs w:val="20"/>
        </w:rPr>
      </w:pPr>
    </w:p>
    <w:p w14:paraId="575A9C0C"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Women who have received a high-risk result from their screening tests can be referred to the Eastern Health Genetics Midwife Service for additional management, follow up and the organization of additional diagnostic testing if required.  </w:t>
      </w:r>
    </w:p>
    <w:p w14:paraId="4A216AC6" w14:textId="77777777" w:rsidR="00823C57" w:rsidRPr="00BA1B7B" w:rsidRDefault="00823C57" w:rsidP="00823C57">
      <w:pPr>
        <w:spacing w:line="276" w:lineRule="auto"/>
        <w:rPr>
          <w:rFonts w:ascii="Arial" w:hAnsi="Arial" w:cs="Arial"/>
          <w:sz w:val="20"/>
          <w:szCs w:val="20"/>
        </w:rPr>
      </w:pPr>
    </w:p>
    <w:p w14:paraId="7F0A15C7" w14:textId="06272A6E" w:rsidR="00823C57" w:rsidRPr="00BA1B7B" w:rsidRDefault="00823C57" w:rsidP="00823C57">
      <w:pPr>
        <w:spacing w:line="276" w:lineRule="auto"/>
        <w:jc w:val="center"/>
        <w:rPr>
          <w:rFonts w:ascii="Arial" w:hAnsi="Arial" w:cs="Arial"/>
          <w:b/>
          <w:bCs/>
          <w:sz w:val="20"/>
          <w:szCs w:val="20"/>
        </w:rPr>
      </w:pPr>
      <w:r w:rsidRPr="00BA1B7B">
        <w:rPr>
          <w:rFonts w:ascii="Arial" w:hAnsi="Arial" w:cs="Arial"/>
          <w:b/>
          <w:bCs/>
          <w:sz w:val="20"/>
          <w:szCs w:val="20"/>
        </w:rPr>
        <w:t>Fax ALL abnormal results to Maternity Bookings and/or call fetal diagn</w:t>
      </w:r>
      <w:r w:rsidR="00BE2083" w:rsidRPr="00BA1B7B">
        <w:rPr>
          <w:rFonts w:ascii="Arial" w:hAnsi="Arial" w:cs="Arial"/>
          <w:b/>
          <w:bCs/>
          <w:sz w:val="20"/>
          <w:szCs w:val="20"/>
        </w:rPr>
        <w:t xml:space="preserve">ostic service enquiries – see p6 </w:t>
      </w:r>
      <w:r w:rsidRPr="00BA1B7B">
        <w:rPr>
          <w:rFonts w:ascii="Arial" w:hAnsi="Arial" w:cs="Arial"/>
          <w:b/>
          <w:bCs/>
          <w:sz w:val="20"/>
          <w:szCs w:val="20"/>
        </w:rPr>
        <w:t>for contact details</w:t>
      </w:r>
    </w:p>
    <w:p w14:paraId="40F26A0E" w14:textId="77777777" w:rsidR="00823C57" w:rsidRPr="00BA1B7B" w:rsidRDefault="00823C57" w:rsidP="00823C57">
      <w:pPr>
        <w:jc w:val="center"/>
        <w:rPr>
          <w:rFonts w:ascii="Arial" w:hAnsi="Arial" w:cs="Arial"/>
          <w:b/>
          <w:bCs/>
          <w:sz w:val="20"/>
          <w:szCs w:val="20"/>
        </w:rPr>
      </w:pPr>
      <w:r w:rsidRPr="00BA1B7B">
        <w:rPr>
          <w:rFonts w:ascii="Arial" w:hAnsi="Arial" w:cs="Arial"/>
          <w:b/>
          <w:bCs/>
          <w:sz w:val="20"/>
          <w:szCs w:val="20"/>
        </w:rPr>
        <w:t>Genetic Screening Options:</w:t>
      </w:r>
    </w:p>
    <w:tbl>
      <w:tblPr>
        <w:tblStyle w:val="TableGrid"/>
        <w:tblW w:w="10093" w:type="dxa"/>
        <w:tblInd w:w="-459" w:type="dxa"/>
        <w:tblLayout w:type="fixed"/>
        <w:tblLook w:val="04A0" w:firstRow="1" w:lastRow="0" w:firstColumn="1" w:lastColumn="0" w:noHBand="0" w:noVBand="1"/>
      </w:tblPr>
      <w:tblGrid>
        <w:gridCol w:w="1276"/>
        <w:gridCol w:w="3209"/>
        <w:gridCol w:w="3198"/>
        <w:gridCol w:w="2410"/>
      </w:tblGrid>
      <w:tr w:rsidR="00823C57" w:rsidRPr="00BA1B7B" w14:paraId="6A87EED5" w14:textId="77777777" w:rsidTr="007A499C">
        <w:tc>
          <w:tcPr>
            <w:tcW w:w="1276" w:type="dxa"/>
          </w:tcPr>
          <w:p w14:paraId="2EDB712E" w14:textId="77777777" w:rsidR="00823C57" w:rsidRPr="00BA1B7B" w:rsidRDefault="00823C57" w:rsidP="00D64801">
            <w:pPr>
              <w:rPr>
                <w:rFonts w:ascii="Arial" w:hAnsi="Arial" w:cs="Arial"/>
                <w:b/>
                <w:bCs/>
                <w:sz w:val="20"/>
                <w:szCs w:val="20"/>
              </w:rPr>
            </w:pPr>
          </w:p>
        </w:tc>
        <w:tc>
          <w:tcPr>
            <w:tcW w:w="3209" w:type="dxa"/>
          </w:tcPr>
          <w:p w14:paraId="3391C03D" w14:textId="77777777" w:rsidR="00823C57" w:rsidRPr="00BA1B7B" w:rsidRDefault="00823C57" w:rsidP="00D64801">
            <w:pPr>
              <w:rPr>
                <w:rFonts w:ascii="Arial" w:hAnsi="Arial" w:cs="Arial"/>
                <w:b/>
                <w:bCs/>
                <w:sz w:val="20"/>
                <w:szCs w:val="20"/>
              </w:rPr>
            </w:pPr>
            <w:r w:rsidRPr="00BA1B7B">
              <w:rPr>
                <w:rFonts w:ascii="Arial" w:hAnsi="Arial" w:cs="Arial"/>
                <w:b/>
                <w:bCs/>
                <w:sz w:val="20"/>
                <w:szCs w:val="20"/>
              </w:rPr>
              <w:t>Non-Invasive prenatal Testing</w:t>
            </w:r>
          </w:p>
          <w:p w14:paraId="7988A56B" w14:textId="77777777" w:rsidR="00823C57" w:rsidRPr="00BA1B7B" w:rsidRDefault="00823C57" w:rsidP="00D64801">
            <w:pPr>
              <w:rPr>
                <w:rFonts w:ascii="Arial" w:hAnsi="Arial" w:cs="Arial"/>
                <w:b/>
                <w:bCs/>
                <w:sz w:val="20"/>
                <w:szCs w:val="20"/>
              </w:rPr>
            </w:pPr>
            <w:r w:rsidRPr="00BA1B7B">
              <w:rPr>
                <w:rFonts w:ascii="Arial" w:hAnsi="Arial" w:cs="Arial"/>
                <w:b/>
                <w:bCs/>
                <w:sz w:val="20"/>
                <w:szCs w:val="20"/>
              </w:rPr>
              <w:t>(NIPT)</w:t>
            </w:r>
          </w:p>
        </w:tc>
        <w:tc>
          <w:tcPr>
            <w:tcW w:w="3198" w:type="dxa"/>
          </w:tcPr>
          <w:p w14:paraId="0A3F0218" w14:textId="77777777" w:rsidR="00823C57" w:rsidRPr="00BA1B7B" w:rsidRDefault="00823C57" w:rsidP="00D64801">
            <w:pPr>
              <w:rPr>
                <w:rFonts w:ascii="Arial" w:hAnsi="Arial" w:cs="Arial"/>
                <w:b/>
                <w:bCs/>
                <w:sz w:val="20"/>
                <w:szCs w:val="20"/>
              </w:rPr>
            </w:pPr>
            <w:bookmarkStart w:id="51" w:name="_Hlk47532335"/>
            <w:r w:rsidRPr="00BA1B7B">
              <w:rPr>
                <w:rFonts w:ascii="Arial" w:hAnsi="Arial" w:cs="Arial"/>
                <w:b/>
                <w:bCs/>
                <w:sz w:val="20"/>
                <w:szCs w:val="20"/>
              </w:rPr>
              <w:t>Combined 1</w:t>
            </w:r>
            <w:r w:rsidRPr="00BA1B7B">
              <w:rPr>
                <w:rFonts w:ascii="Arial" w:hAnsi="Arial" w:cs="Arial"/>
                <w:b/>
                <w:bCs/>
                <w:sz w:val="20"/>
                <w:szCs w:val="20"/>
                <w:vertAlign w:val="superscript"/>
              </w:rPr>
              <w:t>st</w:t>
            </w:r>
            <w:r w:rsidRPr="00BA1B7B">
              <w:rPr>
                <w:rFonts w:ascii="Arial" w:hAnsi="Arial" w:cs="Arial"/>
                <w:b/>
                <w:bCs/>
                <w:sz w:val="20"/>
                <w:szCs w:val="20"/>
              </w:rPr>
              <w:t xml:space="preserve"> Trimester Screening (CFTS)</w:t>
            </w:r>
          </w:p>
        </w:tc>
        <w:tc>
          <w:tcPr>
            <w:tcW w:w="2410" w:type="dxa"/>
          </w:tcPr>
          <w:p w14:paraId="2E400EE3" w14:textId="77777777" w:rsidR="00823C57" w:rsidRPr="00BA1B7B" w:rsidRDefault="00823C57" w:rsidP="00D64801">
            <w:pPr>
              <w:rPr>
                <w:rFonts w:ascii="Arial" w:hAnsi="Arial" w:cs="Arial"/>
                <w:b/>
                <w:bCs/>
                <w:sz w:val="20"/>
                <w:szCs w:val="20"/>
              </w:rPr>
            </w:pPr>
            <w:r w:rsidRPr="00BA1B7B">
              <w:rPr>
                <w:rFonts w:ascii="Arial" w:hAnsi="Arial" w:cs="Arial"/>
                <w:b/>
                <w:bCs/>
                <w:sz w:val="20"/>
                <w:szCs w:val="20"/>
              </w:rPr>
              <w:t>Second Trimester Maternal Serum Screening (2TMSS)</w:t>
            </w:r>
          </w:p>
        </w:tc>
      </w:tr>
      <w:tr w:rsidR="00823C57" w:rsidRPr="00BA1B7B" w14:paraId="3DF82761" w14:textId="77777777" w:rsidTr="007A499C">
        <w:tc>
          <w:tcPr>
            <w:tcW w:w="1276" w:type="dxa"/>
          </w:tcPr>
          <w:p w14:paraId="7BE24F72" w14:textId="77777777" w:rsidR="00823C57" w:rsidRPr="00BA1B7B" w:rsidRDefault="00823C57" w:rsidP="00D64801">
            <w:pPr>
              <w:rPr>
                <w:rFonts w:ascii="Arial" w:hAnsi="Arial" w:cs="Arial"/>
                <w:sz w:val="20"/>
                <w:szCs w:val="20"/>
              </w:rPr>
            </w:pPr>
            <w:r w:rsidRPr="00BA1B7B">
              <w:rPr>
                <w:rFonts w:ascii="Arial" w:hAnsi="Arial" w:cs="Arial"/>
                <w:sz w:val="20"/>
                <w:szCs w:val="20"/>
              </w:rPr>
              <w:t>Screens For:</w:t>
            </w:r>
          </w:p>
        </w:tc>
        <w:tc>
          <w:tcPr>
            <w:tcW w:w="3209" w:type="dxa"/>
          </w:tcPr>
          <w:p w14:paraId="340EC219" w14:textId="77777777" w:rsidR="00823C57" w:rsidRPr="00BA1B7B" w:rsidRDefault="00823C57" w:rsidP="00D64801">
            <w:pPr>
              <w:rPr>
                <w:rFonts w:ascii="Arial" w:hAnsi="Arial" w:cs="Arial"/>
                <w:sz w:val="20"/>
                <w:szCs w:val="20"/>
              </w:rPr>
            </w:pPr>
            <w:r w:rsidRPr="00BA1B7B">
              <w:rPr>
                <w:rFonts w:ascii="Arial" w:hAnsi="Arial" w:cs="Arial"/>
                <w:sz w:val="20"/>
                <w:szCs w:val="20"/>
              </w:rPr>
              <w:t>Down Syndrome T21</w:t>
            </w:r>
          </w:p>
          <w:p w14:paraId="35391253" w14:textId="77777777" w:rsidR="00823C57" w:rsidRPr="00BA1B7B" w:rsidRDefault="00823C57" w:rsidP="00D64801">
            <w:pPr>
              <w:rPr>
                <w:rFonts w:ascii="Arial" w:hAnsi="Arial" w:cs="Arial"/>
                <w:sz w:val="20"/>
                <w:szCs w:val="20"/>
              </w:rPr>
            </w:pPr>
            <w:r w:rsidRPr="00BA1B7B">
              <w:rPr>
                <w:rFonts w:ascii="Arial" w:hAnsi="Arial" w:cs="Arial"/>
                <w:sz w:val="20"/>
                <w:szCs w:val="20"/>
              </w:rPr>
              <w:t>Edwards Syndrome T18</w:t>
            </w:r>
          </w:p>
          <w:p w14:paraId="6980BA70" w14:textId="77777777" w:rsidR="00823C57" w:rsidRPr="00BA1B7B" w:rsidRDefault="00823C57" w:rsidP="00D64801">
            <w:pPr>
              <w:rPr>
                <w:rFonts w:ascii="Arial" w:hAnsi="Arial" w:cs="Arial"/>
                <w:sz w:val="20"/>
                <w:szCs w:val="20"/>
              </w:rPr>
            </w:pPr>
            <w:r w:rsidRPr="00BA1B7B">
              <w:rPr>
                <w:rFonts w:ascii="Arial" w:hAnsi="Arial" w:cs="Arial"/>
                <w:sz w:val="20"/>
                <w:szCs w:val="20"/>
              </w:rPr>
              <w:t>Patau Syndrome T13</w:t>
            </w:r>
          </w:p>
        </w:tc>
        <w:tc>
          <w:tcPr>
            <w:tcW w:w="3198" w:type="dxa"/>
          </w:tcPr>
          <w:p w14:paraId="0A7D550D" w14:textId="77777777" w:rsidR="00823C57" w:rsidRPr="00BA1B7B" w:rsidRDefault="00823C57" w:rsidP="00D64801">
            <w:pPr>
              <w:rPr>
                <w:rFonts w:ascii="Arial" w:hAnsi="Arial" w:cs="Arial"/>
                <w:sz w:val="20"/>
                <w:szCs w:val="20"/>
              </w:rPr>
            </w:pPr>
            <w:r w:rsidRPr="00BA1B7B">
              <w:rPr>
                <w:rFonts w:ascii="Arial" w:hAnsi="Arial" w:cs="Arial"/>
                <w:sz w:val="20"/>
                <w:szCs w:val="20"/>
              </w:rPr>
              <w:t>Down Syndrome T21</w:t>
            </w:r>
          </w:p>
          <w:p w14:paraId="05347897" w14:textId="77777777" w:rsidR="00823C57" w:rsidRPr="00BA1B7B" w:rsidRDefault="00823C57" w:rsidP="00D64801">
            <w:pPr>
              <w:rPr>
                <w:rFonts w:ascii="Arial" w:hAnsi="Arial" w:cs="Arial"/>
                <w:sz w:val="20"/>
                <w:szCs w:val="20"/>
              </w:rPr>
            </w:pPr>
            <w:r w:rsidRPr="00BA1B7B">
              <w:rPr>
                <w:rFonts w:ascii="Arial" w:hAnsi="Arial" w:cs="Arial"/>
                <w:sz w:val="20"/>
                <w:szCs w:val="20"/>
              </w:rPr>
              <w:t>Edwards Syndrome T18</w:t>
            </w:r>
          </w:p>
          <w:p w14:paraId="4902FA6B" w14:textId="77777777" w:rsidR="00823C57" w:rsidRPr="00BA1B7B" w:rsidRDefault="00823C57" w:rsidP="00D64801">
            <w:pPr>
              <w:rPr>
                <w:rFonts w:ascii="Arial" w:hAnsi="Arial" w:cs="Arial"/>
                <w:sz w:val="20"/>
                <w:szCs w:val="20"/>
              </w:rPr>
            </w:pPr>
            <w:r w:rsidRPr="00BA1B7B">
              <w:rPr>
                <w:rFonts w:ascii="Arial" w:hAnsi="Arial" w:cs="Arial"/>
                <w:sz w:val="20"/>
                <w:szCs w:val="20"/>
              </w:rPr>
              <w:t>Patau Syndrome T13</w:t>
            </w:r>
          </w:p>
        </w:tc>
        <w:tc>
          <w:tcPr>
            <w:tcW w:w="2410" w:type="dxa"/>
          </w:tcPr>
          <w:p w14:paraId="124DB23E" w14:textId="77777777" w:rsidR="00823C57" w:rsidRPr="00BA1B7B" w:rsidRDefault="00823C57" w:rsidP="00D64801">
            <w:pPr>
              <w:rPr>
                <w:rFonts w:ascii="Arial" w:hAnsi="Arial" w:cs="Arial"/>
                <w:sz w:val="20"/>
                <w:szCs w:val="20"/>
              </w:rPr>
            </w:pPr>
            <w:r w:rsidRPr="00BA1B7B">
              <w:rPr>
                <w:rFonts w:ascii="Arial" w:hAnsi="Arial" w:cs="Arial"/>
                <w:sz w:val="20"/>
                <w:szCs w:val="20"/>
              </w:rPr>
              <w:t>Down Syndrome T21</w:t>
            </w:r>
          </w:p>
          <w:p w14:paraId="49BBA00E" w14:textId="77777777" w:rsidR="00823C57" w:rsidRPr="00BA1B7B" w:rsidRDefault="00823C57" w:rsidP="00D64801">
            <w:pPr>
              <w:rPr>
                <w:rFonts w:ascii="Arial" w:hAnsi="Arial" w:cs="Arial"/>
                <w:sz w:val="20"/>
                <w:szCs w:val="20"/>
              </w:rPr>
            </w:pPr>
            <w:r w:rsidRPr="00BA1B7B">
              <w:rPr>
                <w:rFonts w:ascii="Arial" w:hAnsi="Arial" w:cs="Arial"/>
                <w:sz w:val="20"/>
                <w:szCs w:val="20"/>
              </w:rPr>
              <w:t>Edwards Syndrome T18</w:t>
            </w:r>
          </w:p>
        </w:tc>
      </w:tr>
      <w:tr w:rsidR="00823C57" w:rsidRPr="00BA1B7B" w14:paraId="2F8E65DB" w14:textId="77777777" w:rsidTr="007A499C">
        <w:tc>
          <w:tcPr>
            <w:tcW w:w="1276" w:type="dxa"/>
          </w:tcPr>
          <w:p w14:paraId="740B9C76" w14:textId="77777777" w:rsidR="00823C57" w:rsidRPr="00BA1B7B" w:rsidRDefault="00823C57" w:rsidP="00D64801">
            <w:pPr>
              <w:rPr>
                <w:rFonts w:ascii="Arial" w:hAnsi="Arial" w:cs="Arial"/>
                <w:sz w:val="20"/>
                <w:szCs w:val="20"/>
              </w:rPr>
            </w:pPr>
            <w:r w:rsidRPr="00BA1B7B">
              <w:rPr>
                <w:rFonts w:ascii="Arial" w:hAnsi="Arial" w:cs="Arial"/>
                <w:sz w:val="20"/>
                <w:szCs w:val="20"/>
              </w:rPr>
              <w:t>Sensitivity of Test</w:t>
            </w:r>
          </w:p>
        </w:tc>
        <w:tc>
          <w:tcPr>
            <w:tcW w:w="3209" w:type="dxa"/>
          </w:tcPr>
          <w:p w14:paraId="7C7E4E1B" w14:textId="77777777" w:rsidR="00823C57" w:rsidRPr="00BA1B7B" w:rsidRDefault="00823C57" w:rsidP="00D64801">
            <w:pPr>
              <w:rPr>
                <w:rFonts w:ascii="Arial" w:hAnsi="Arial" w:cs="Arial"/>
                <w:sz w:val="20"/>
                <w:szCs w:val="20"/>
              </w:rPr>
            </w:pPr>
            <w:r w:rsidRPr="00BA1B7B">
              <w:rPr>
                <w:rFonts w:ascii="Arial" w:hAnsi="Arial" w:cs="Arial"/>
                <w:sz w:val="20"/>
                <w:szCs w:val="20"/>
              </w:rPr>
              <w:t>99% of cases of Down Syndrome will be identified</w:t>
            </w:r>
          </w:p>
          <w:p w14:paraId="148749BD" w14:textId="77777777" w:rsidR="00823C57" w:rsidRPr="00BA1B7B" w:rsidRDefault="00823C57" w:rsidP="00D64801">
            <w:pPr>
              <w:rPr>
                <w:rFonts w:ascii="Arial" w:hAnsi="Arial" w:cs="Arial"/>
                <w:sz w:val="20"/>
                <w:szCs w:val="20"/>
              </w:rPr>
            </w:pPr>
          </w:p>
        </w:tc>
        <w:tc>
          <w:tcPr>
            <w:tcW w:w="3198" w:type="dxa"/>
          </w:tcPr>
          <w:p w14:paraId="252488BD" w14:textId="77777777" w:rsidR="00823C57" w:rsidRPr="00BA1B7B" w:rsidRDefault="00823C57" w:rsidP="00D64801">
            <w:pPr>
              <w:rPr>
                <w:rFonts w:ascii="Arial" w:hAnsi="Arial" w:cs="Arial"/>
                <w:sz w:val="20"/>
                <w:szCs w:val="20"/>
              </w:rPr>
            </w:pPr>
            <w:r w:rsidRPr="00BA1B7B">
              <w:rPr>
                <w:rFonts w:ascii="Arial" w:hAnsi="Arial" w:cs="Arial"/>
                <w:sz w:val="20"/>
                <w:szCs w:val="20"/>
              </w:rPr>
              <w:t>90% of cases that have a high risk of Down Syndrome will be identified</w:t>
            </w:r>
          </w:p>
        </w:tc>
        <w:tc>
          <w:tcPr>
            <w:tcW w:w="2410" w:type="dxa"/>
          </w:tcPr>
          <w:p w14:paraId="059E9387" w14:textId="77777777" w:rsidR="00823C57" w:rsidRPr="00BA1B7B" w:rsidRDefault="00823C57" w:rsidP="00D64801">
            <w:pPr>
              <w:rPr>
                <w:rFonts w:ascii="Arial" w:hAnsi="Arial" w:cs="Arial"/>
                <w:sz w:val="20"/>
                <w:szCs w:val="20"/>
              </w:rPr>
            </w:pPr>
            <w:r w:rsidRPr="00BA1B7B">
              <w:rPr>
                <w:rFonts w:ascii="Arial" w:hAnsi="Arial" w:cs="Arial"/>
                <w:sz w:val="20"/>
                <w:szCs w:val="20"/>
              </w:rPr>
              <w:t>75-80% of cases that have a high risk of Down syndrome will be identified</w:t>
            </w:r>
          </w:p>
        </w:tc>
      </w:tr>
      <w:tr w:rsidR="00823C57" w:rsidRPr="00BA1B7B" w14:paraId="075BC534" w14:textId="77777777" w:rsidTr="007A499C">
        <w:tc>
          <w:tcPr>
            <w:tcW w:w="1276" w:type="dxa"/>
          </w:tcPr>
          <w:p w14:paraId="04E644CD" w14:textId="77777777" w:rsidR="00823C57" w:rsidRPr="00BA1B7B" w:rsidRDefault="00823C57" w:rsidP="00D64801">
            <w:pPr>
              <w:rPr>
                <w:rFonts w:ascii="Arial" w:hAnsi="Arial" w:cs="Arial"/>
                <w:sz w:val="20"/>
                <w:szCs w:val="20"/>
              </w:rPr>
            </w:pPr>
            <w:r w:rsidRPr="00BA1B7B">
              <w:rPr>
                <w:rFonts w:ascii="Arial" w:hAnsi="Arial" w:cs="Arial"/>
                <w:sz w:val="20"/>
                <w:szCs w:val="20"/>
              </w:rPr>
              <w:t>Gestation available to perform test:</w:t>
            </w:r>
          </w:p>
        </w:tc>
        <w:tc>
          <w:tcPr>
            <w:tcW w:w="3209" w:type="dxa"/>
          </w:tcPr>
          <w:p w14:paraId="10EA0F78" w14:textId="77777777" w:rsidR="00823C57" w:rsidRPr="00BA1B7B" w:rsidRDefault="00823C57" w:rsidP="00D64801">
            <w:pPr>
              <w:rPr>
                <w:rFonts w:ascii="Arial" w:hAnsi="Arial" w:cs="Arial"/>
                <w:sz w:val="20"/>
                <w:szCs w:val="20"/>
              </w:rPr>
            </w:pPr>
            <w:r w:rsidRPr="00BA1B7B">
              <w:rPr>
                <w:rFonts w:ascii="Arial" w:hAnsi="Arial" w:cs="Arial"/>
                <w:sz w:val="20"/>
                <w:szCs w:val="20"/>
              </w:rPr>
              <w:t>Bloods: from 10+0,</w:t>
            </w:r>
          </w:p>
          <w:p w14:paraId="7E601B66" w14:textId="77777777" w:rsidR="00823C57" w:rsidRPr="00BA1B7B" w:rsidRDefault="00823C57" w:rsidP="00D64801">
            <w:pPr>
              <w:rPr>
                <w:rFonts w:ascii="Arial" w:hAnsi="Arial" w:cs="Arial"/>
                <w:sz w:val="20"/>
                <w:szCs w:val="20"/>
              </w:rPr>
            </w:pPr>
            <w:r w:rsidRPr="00BA1B7B">
              <w:rPr>
                <w:rFonts w:ascii="Arial" w:hAnsi="Arial" w:cs="Arial"/>
                <w:sz w:val="20"/>
                <w:szCs w:val="20"/>
              </w:rPr>
              <w:t>No upper limit however the recommended time frame is 11+0 – 16+0</w:t>
            </w:r>
          </w:p>
        </w:tc>
        <w:tc>
          <w:tcPr>
            <w:tcW w:w="3198" w:type="dxa"/>
          </w:tcPr>
          <w:p w14:paraId="480809B9" w14:textId="77777777" w:rsidR="00823C57" w:rsidRPr="00BA1B7B" w:rsidRDefault="00823C57" w:rsidP="00D64801">
            <w:pPr>
              <w:rPr>
                <w:rFonts w:ascii="Arial" w:hAnsi="Arial" w:cs="Arial"/>
                <w:sz w:val="20"/>
                <w:szCs w:val="20"/>
              </w:rPr>
            </w:pPr>
            <w:r w:rsidRPr="00BA1B7B">
              <w:rPr>
                <w:rFonts w:ascii="Arial" w:hAnsi="Arial" w:cs="Arial"/>
                <w:sz w:val="20"/>
                <w:szCs w:val="20"/>
              </w:rPr>
              <w:t>Bloods: 9+0 to 13+6</w:t>
            </w:r>
          </w:p>
          <w:p w14:paraId="7769C6CF" w14:textId="77777777" w:rsidR="00823C57" w:rsidRPr="00BA1B7B" w:rsidRDefault="00823C57" w:rsidP="00D64801">
            <w:pPr>
              <w:rPr>
                <w:rFonts w:ascii="Arial" w:hAnsi="Arial" w:cs="Arial"/>
                <w:sz w:val="20"/>
                <w:szCs w:val="20"/>
              </w:rPr>
            </w:pPr>
            <w:r w:rsidRPr="00BA1B7B">
              <w:rPr>
                <w:rFonts w:ascii="Arial" w:hAnsi="Arial" w:cs="Arial"/>
                <w:sz w:val="20"/>
                <w:szCs w:val="20"/>
              </w:rPr>
              <w:t>U/S: 11+0 to 13+6</w:t>
            </w:r>
          </w:p>
        </w:tc>
        <w:tc>
          <w:tcPr>
            <w:tcW w:w="2410" w:type="dxa"/>
          </w:tcPr>
          <w:p w14:paraId="2FFCF3C7" w14:textId="77777777" w:rsidR="00823C57" w:rsidRPr="00BA1B7B" w:rsidRDefault="00823C57" w:rsidP="00D64801">
            <w:pPr>
              <w:rPr>
                <w:rFonts w:ascii="Arial" w:hAnsi="Arial" w:cs="Arial"/>
                <w:sz w:val="20"/>
                <w:szCs w:val="20"/>
              </w:rPr>
            </w:pPr>
            <w:r w:rsidRPr="00BA1B7B">
              <w:rPr>
                <w:rFonts w:ascii="Arial" w:hAnsi="Arial" w:cs="Arial"/>
                <w:sz w:val="20"/>
                <w:szCs w:val="20"/>
              </w:rPr>
              <w:t>Bloods: 14+0 to 20+0</w:t>
            </w:r>
          </w:p>
          <w:p w14:paraId="1620E772" w14:textId="77777777" w:rsidR="00823C57" w:rsidRPr="00BA1B7B" w:rsidRDefault="00823C57" w:rsidP="00D64801">
            <w:pPr>
              <w:rPr>
                <w:rFonts w:ascii="Arial" w:hAnsi="Arial" w:cs="Arial"/>
                <w:sz w:val="20"/>
                <w:szCs w:val="20"/>
              </w:rPr>
            </w:pPr>
            <w:r w:rsidRPr="00BA1B7B">
              <w:rPr>
                <w:rFonts w:ascii="Arial" w:hAnsi="Arial" w:cs="Arial"/>
                <w:sz w:val="20"/>
                <w:szCs w:val="20"/>
              </w:rPr>
              <w:t>Best performed between 15+0 and 17+0</w:t>
            </w:r>
          </w:p>
        </w:tc>
      </w:tr>
      <w:tr w:rsidR="00823C57" w:rsidRPr="00BA1B7B" w14:paraId="1737907B" w14:textId="77777777" w:rsidTr="007A499C">
        <w:tc>
          <w:tcPr>
            <w:tcW w:w="1276" w:type="dxa"/>
          </w:tcPr>
          <w:p w14:paraId="66A905A0" w14:textId="77777777" w:rsidR="00823C57" w:rsidRPr="00BA1B7B" w:rsidRDefault="00823C57" w:rsidP="00D64801">
            <w:pPr>
              <w:rPr>
                <w:rFonts w:ascii="Arial" w:hAnsi="Arial" w:cs="Arial"/>
                <w:sz w:val="20"/>
                <w:szCs w:val="20"/>
              </w:rPr>
            </w:pPr>
            <w:r w:rsidRPr="00BA1B7B">
              <w:rPr>
                <w:rFonts w:ascii="Arial" w:hAnsi="Arial" w:cs="Arial"/>
                <w:sz w:val="20"/>
                <w:szCs w:val="20"/>
              </w:rPr>
              <w:t>Approximate Cost:</w:t>
            </w:r>
          </w:p>
          <w:p w14:paraId="7D49ABA1" w14:textId="77777777" w:rsidR="00823C57" w:rsidRPr="00BA1B7B" w:rsidRDefault="00823C57" w:rsidP="00D64801">
            <w:pPr>
              <w:rPr>
                <w:rFonts w:ascii="Arial" w:hAnsi="Arial" w:cs="Arial"/>
                <w:i/>
                <w:iCs/>
                <w:sz w:val="20"/>
                <w:szCs w:val="20"/>
              </w:rPr>
            </w:pPr>
            <w:r w:rsidRPr="00BA1B7B">
              <w:rPr>
                <w:rFonts w:ascii="Arial" w:hAnsi="Arial" w:cs="Arial"/>
                <w:i/>
                <w:iCs/>
                <w:sz w:val="20"/>
                <w:szCs w:val="20"/>
              </w:rPr>
              <w:t>As of August 2020</w:t>
            </w:r>
          </w:p>
        </w:tc>
        <w:tc>
          <w:tcPr>
            <w:tcW w:w="3209" w:type="dxa"/>
          </w:tcPr>
          <w:p w14:paraId="0E4A3DE5" w14:textId="77777777" w:rsidR="00823C57" w:rsidRPr="00BA1B7B" w:rsidRDefault="00823C57" w:rsidP="00D64801">
            <w:pPr>
              <w:rPr>
                <w:rFonts w:ascii="Arial" w:hAnsi="Arial" w:cs="Arial"/>
                <w:sz w:val="20"/>
                <w:szCs w:val="20"/>
              </w:rPr>
            </w:pPr>
            <w:r w:rsidRPr="00BA1B7B">
              <w:rPr>
                <w:rFonts w:ascii="Arial" w:hAnsi="Arial" w:cs="Arial"/>
                <w:sz w:val="20"/>
                <w:szCs w:val="20"/>
              </w:rPr>
              <w:t>Approx. $449</w:t>
            </w:r>
          </w:p>
          <w:p w14:paraId="51353E27" w14:textId="77777777" w:rsidR="00823C57" w:rsidRPr="00BA1B7B" w:rsidRDefault="00823C57" w:rsidP="00D64801">
            <w:pPr>
              <w:rPr>
                <w:rFonts w:ascii="Arial" w:hAnsi="Arial" w:cs="Arial"/>
                <w:sz w:val="20"/>
                <w:szCs w:val="20"/>
              </w:rPr>
            </w:pPr>
            <w:r w:rsidRPr="00BA1B7B">
              <w:rPr>
                <w:rFonts w:ascii="Arial" w:hAnsi="Arial" w:cs="Arial"/>
                <w:sz w:val="20"/>
                <w:szCs w:val="20"/>
              </w:rPr>
              <w:t>However expanded testing available for additional costs</w:t>
            </w:r>
          </w:p>
        </w:tc>
        <w:tc>
          <w:tcPr>
            <w:tcW w:w="3198" w:type="dxa"/>
          </w:tcPr>
          <w:p w14:paraId="029E2E58" w14:textId="77777777" w:rsidR="00823C57" w:rsidRPr="00BA1B7B" w:rsidRDefault="00823C57" w:rsidP="00D64801">
            <w:pPr>
              <w:rPr>
                <w:rFonts w:ascii="Arial" w:hAnsi="Arial" w:cs="Arial"/>
                <w:sz w:val="20"/>
                <w:szCs w:val="20"/>
              </w:rPr>
            </w:pPr>
            <w:r w:rsidRPr="00BA1B7B">
              <w:rPr>
                <w:rFonts w:ascii="Arial" w:hAnsi="Arial" w:cs="Arial"/>
                <w:sz w:val="20"/>
                <w:szCs w:val="20"/>
              </w:rPr>
              <w:t>Approx. $92-101</w:t>
            </w:r>
          </w:p>
          <w:p w14:paraId="0964A716" w14:textId="77777777" w:rsidR="00823C57" w:rsidRPr="00BA1B7B" w:rsidRDefault="00823C57" w:rsidP="00D64801">
            <w:pPr>
              <w:rPr>
                <w:rFonts w:ascii="Arial" w:hAnsi="Arial" w:cs="Arial"/>
                <w:sz w:val="20"/>
                <w:szCs w:val="20"/>
              </w:rPr>
            </w:pPr>
            <w:r w:rsidRPr="00BA1B7B">
              <w:rPr>
                <w:rFonts w:ascii="Arial" w:hAnsi="Arial" w:cs="Arial"/>
                <w:sz w:val="20"/>
                <w:szCs w:val="20"/>
              </w:rPr>
              <w:t xml:space="preserve">This does not include the cost of the required ultrasound. </w:t>
            </w:r>
          </w:p>
        </w:tc>
        <w:tc>
          <w:tcPr>
            <w:tcW w:w="2410" w:type="dxa"/>
          </w:tcPr>
          <w:p w14:paraId="756AA48C" w14:textId="77777777" w:rsidR="00823C57" w:rsidRPr="00BA1B7B" w:rsidRDefault="00823C57" w:rsidP="00D64801">
            <w:pPr>
              <w:rPr>
                <w:rFonts w:ascii="Arial" w:hAnsi="Arial" w:cs="Arial"/>
                <w:sz w:val="20"/>
                <w:szCs w:val="20"/>
              </w:rPr>
            </w:pPr>
            <w:r w:rsidRPr="00BA1B7B">
              <w:rPr>
                <w:rFonts w:ascii="Arial" w:hAnsi="Arial" w:cs="Arial"/>
                <w:sz w:val="20"/>
                <w:szCs w:val="20"/>
              </w:rPr>
              <w:t>Aprox. $79-88.</w:t>
            </w:r>
          </w:p>
        </w:tc>
      </w:tr>
      <w:tr w:rsidR="00823C57" w:rsidRPr="00BA1B7B" w14:paraId="6B1427EB" w14:textId="77777777" w:rsidTr="007A499C">
        <w:tc>
          <w:tcPr>
            <w:tcW w:w="1276" w:type="dxa"/>
          </w:tcPr>
          <w:p w14:paraId="49AE6C2A" w14:textId="77777777" w:rsidR="00823C57" w:rsidRPr="00BA1B7B" w:rsidRDefault="00823C57" w:rsidP="00D64801">
            <w:pPr>
              <w:rPr>
                <w:rFonts w:ascii="Arial" w:hAnsi="Arial" w:cs="Arial"/>
                <w:sz w:val="20"/>
                <w:szCs w:val="20"/>
              </w:rPr>
            </w:pPr>
            <w:r w:rsidRPr="00BA1B7B">
              <w:rPr>
                <w:rFonts w:ascii="Arial" w:hAnsi="Arial" w:cs="Arial"/>
                <w:sz w:val="20"/>
                <w:szCs w:val="20"/>
              </w:rPr>
              <w:t>1</w:t>
            </w:r>
            <w:r w:rsidRPr="00BA1B7B">
              <w:rPr>
                <w:rFonts w:ascii="Arial" w:hAnsi="Arial" w:cs="Arial"/>
                <w:sz w:val="20"/>
                <w:szCs w:val="20"/>
                <w:vertAlign w:val="superscript"/>
              </w:rPr>
              <w:t>st</w:t>
            </w:r>
            <w:r w:rsidRPr="00BA1B7B">
              <w:rPr>
                <w:rFonts w:ascii="Arial" w:hAnsi="Arial" w:cs="Arial"/>
                <w:sz w:val="20"/>
                <w:szCs w:val="20"/>
              </w:rPr>
              <w:t xml:space="preserve"> trimester U/S required for screening result</w:t>
            </w:r>
          </w:p>
        </w:tc>
        <w:tc>
          <w:tcPr>
            <w:tcW w:w="3209" w:type="dxa"/>
          </w:tcPr>
          <w:p w14:paraId="43786AEA" w14:textId="77777777" w:rsidR="00823C57" w:rsidRPr="00BA1B7B" w:rsidRDefault="00823C57" w:rsidP="00D64801">
            <w:pPr>
              <w:rPr>
                <w:rFonts w:ascii="Arial" w:hAnsi="Arial" w:cs="Arial"/>
                <w:sz w:val="20"/>
                <w:szCs w:val="20"/>
              </w:rPr>
            </w:pPr>
            <w:r w:rsidRPr="00BA1B7B">
              <w:rPr>
                <w:rFonts w:ascii="Arial" w:hAnsi="Arial" w:cs="Arial"/>
                <w:sz w:val="20"/>
                <w:szCs w:val="20"/>
              </w:rPr>
              <w:t xml:space="preserve">No, </w:t>
            </w:r>
          </w:p>
          <w:p w14:paraId="7DAA5CCF" w14:textId="77777777" w:rsidR="00823C57" w:rsidRPr="00BA1B7B" w:rsidRDefault="00823C57" w:rsidP="00D64801">
            <w:pPr>
              <w:rPr>
                <w:rFonts w:ascii="Arial" w:hAnsi="Arial" w:cs="Arial"/>
                <w:sz w:val="20"/>
                <w:szCs w:val="20"/>
              </w:rPr>
            </w:pPr>
            <w:r w:rsidRPr="00BA1B7B">
              <w:rPr>
                <w:rFonts w:ascii="Arial" w:hAnsi="Arial" w:cs="Arial"/>
                <w:sz w:val="20"/>
                <w:szCs w:val="20"/>
              </w:rPr>
              <w:t>But 13+0 week U/S recommended to assess fetal structural development</w:t>
            </w:r>
          </w:p>
        </w:tc>
        <w:tc>
          <w:tcPr>
            <w:tcW w:w="3198" w:type="dxa"/>
          </w:tcPr>
          <w:p w14:paraId="0BB76E2F" w14:textId="77777777" w:rsidR="00823C57" w:rsidRPr="00BA1B7B" w:rsidRDefault="00823C57" w:rsidP="00D64801">
            <w:pPr>
              <w:rPr>
                <w:rFonts w:ascii="Arial" w:hAnsi="Arial" w:cs="Arial"/>
                <w:sz w:val="20"/>
                <w:szCs w:val="20"/>
              </w:rPr>
            </w:pPr>
            <w:r w:rsidRPr="00BA1B7B">
              <w:rPr>
                <w:rFonts w:ascii="Arial" w:hAnsi="Arial" w:cs="Arial"/>
                <w:sz w:val="20"/>
                <w:szCs w:val="20"/>
              </w:rPr>
              <w:t>Yes</w:t>
            </w:r>
          </w:p>
        </w:tc>
        <w:tc>
          <w:tcPr>
            <w:tcW w:w="2410" w:type="dxa"/>
          </w:tcPr>
          <w:p w14:paraId="170AB3A7" w14:textId="77777777" w:rsidR="00823C57" w:rsidRPr="00BA1B7B" w:rsidRDefault="00823C57" w:rsidP="00D64801">
            <w:pPr>
              <w:rPr>
                <w:rFonts w:ascii="Arial" w:hAnsi="Arial" w:cs="Arial"/>
                <w:sz w:val="20"/>
                <w:szCs w:val="20"/>
              </w:rPr>
            </w:pPr>
            <w:r w:rsidRPr="00BA1B7B">
              <w:rPr>
                <w:rFonts w:ascii="Arial" w:hAnsi="Arial" w:cs="Arial"/>
                <w:sz w:val="20"/>
                <w:szCs w:val="20"/>
              </w:rPr>
              <w:t>No,</w:t>
            </w:r>
          </w:p>
          <w:p w14:paraId="109AD873" w14:textId="77777777" w:rsidR="00823C57" w:rsidRPr="00BA1B7B" w:rsidRDefault="00823C57" w:rsidP="00D64801">
            <w:pPr>
              <w:rPr>
                <w:rFonts w:ascii="Arial" w:hAnsi="Arial" w:cs="Arial"/>
                <w:sz w:val="20"/>
                <w:szCs w:val="20"/>
              </w:rPr>
            </w:pPr>
            <w:r w:rsidRPr="00BA1B7B">
              <w:rPr>
                <w:rFonts w:ascii="Arial" w:hAnsi="Arial" w:cs="Arial"/>
                <w:sz w:val="20"/>
                <w:szCs w:val="20"/>
              </w:rPr>
              <w:t>But 13+0 week U/S</w:t>
            </w:r>
          </w:p>
          <w:p w14:paraId="1F6E71E5" w14:textId="77777777" w:rsidR="00823C57" w:rsidRPr="00BA1B7B" w:rsidRDefault="00823C57" w:rsidP="00D64801">
            <w:pPr>
              <w:rPr>
                <w:rFonts w:ascii="Arial" w:hAnsi="Arial" w:cs="Arial"/>
                <w:sz w:val="20"/>
                <w:szCs w:val="20"/>
              </w:rPr>
            </w:pPr>
            <w:r w:rsidRPr="00BA1B7B">
              <w:rPr>
                <w:rFonts w:ascii="Arial" w:hAnsi="Arial" w:cs="Arial"/>
                <w:sz w:val="20"/>
                <w:szCs w:val="20"/>
              </w:rPr>
              <w:t>Recommended to assess fetal structural development</w:t>
            </w:r>
          </w:p>
        </w:tc>
      </w:tr>
      <w:tr w:rsidR="00823C57" w:rsidRPr="00BA1B7B" w14:paraId="195A3DA0" w14:textId="77777777" w:rsidTr="007A499C">
        <w:tc>
          <w:tcPr>
            <w:tcW w:w="1276" w:type="dxa"/>
          </w:tcPr>
          <w:p w14:paraId="7F4C5861" w14:textId="77777777" w:rsidR="00823C57" w:rsidRPr="00BA1B7B" w:rsidRDefault="00823C57" w:rsidP="00D64801">
            <w:pPr>
              <w:rPr>
                <w:rFonts w:ascii="Arial" w:hAnsi="Arial" w:cs="Arial"/>
                <w:sz w:val="20"/>
                <w:szCs w:val="20"/>
              </w:rPr>
            </w:pPr>
            <w:r w:rsidRPr="00BA1B7B">
              <w:rPr>
                <w:rFonts w:ascii="Arial" w:hAnsi="Arial" w:cs="Arial"/>
                <w:sz w:val="20"/>
                <w:szCs w:val="20"/>
              </w:rPr>
              <w:t>Additional information</w:t>
            </w:r>
          </w:p>
        </w:tc>
        <w:tc>
          <w:tcPr>
            <w:tcW w:w="3209" w:type="dxa"/>
          </w:tcPr>
          <w:p w14:paraId="2EE784BD" w14:textId="77777777" w:rsidR="00823C57" w:rsidRPr="00BA1B7B" w:rsidRDefault="00A97F97" w:rsidP="00D64801">
            <w:pPr>
              <w:rPr>
                <w:rFonts w:ascii="Arial" w:hAnsi="Arial" w:cs="Arial"/>
                <w:sz w:val="20"/>
                <w:szCs w:val="20"/>
              </w:rPr>
            </w:pPr>
            <w:hyperlink r:id="rId80" w:history="1">
              <w:r w:rsidR="00823C57" w:rsidRPr="00BA1B7B">
                <w:rPr>
                  <w:rFonts w:ascii="Arial" w:hAnsi="Arial" w:cs="Arial"/>
                  <w:sz w:val="20"/>
                  <w:szCs w:val="20"/>
                  <w:u w:val="single"/>
                </w:rPr>
                <w:t>https://www.vcgs.org.au/tests/perceptnipt</w:t>
              </w:r>
            </w:hyperlink>
          </w:p>
        </w:tc>
        <w:tc>
          <w:tcPr>
            <w:tcW w:w="3198" w:type="dxa"/>
          </w:tcPr>
          <w:p w14:paraId="02DC181C" w14:textId="77777777" w:rsidR="00823C57" w:rsidRPr="00BA1B7B" w:rsidRDefault="00A97F97" w:rsidP="00D64801">
            <w:pPr>
              <w:rPr>
                <w:rFonts w:ascii="Arial" w:hAnsi="Arial" w:cs="Arial"/>
                <w:sz w:val="20"/>
                <w:szCs w:val="20"/>
              </w:rPr>
            </w:pPr>
            <w:hyperlink r:id="rId81" w:history="1">
              <w:r w:rsidR="00823C57" w:rsidRPr="00BA1B7B">
                <w:rPr>
                  <w:rFonts w:ascii="Arial" w:hAnsi="Arial" w:cs="Arial"/>
                  <w:sz w:val="20"/>
                  <w:szCs w:val="20"/>
                  <w:u w:val="single"/>
                </w:rPr>
                <w:t>https://www.vcgs.org.au/tests/maternal-serum-screening</w:t>
              </w:r>
            </w:hyperlink>
          </w:p>
        </w:tc>
        <w:tc>
          <w:tcPr>
            <w:tcW w:w="2410" w:type="dxa"/>
          </w:tcPr>
          <w:p w14:paraId="5095AEA8" w14:textId="77777777" w:rsidR="00823C57" w:rsidRPr="00BA1B7B" w:rsidRDefault="00A97F97" w:rsidP="00D64801">
            <w:pPr>
              <w:rPr>
                <w:rFonts w:ascii="Arial" w:hAnsi="Arial" w:cs="Arial"/>
                <w:sz w:val="20"/>
                <w:szCs w:val="20"/>
              </w:rPr>
            </w:pPr>
            <w:hyperlink r:id="rId82" w:history="1">
              <w:r w:rsidR="00823C57" w:rsidRPr="00BA1B7B">
                <w:rPr>
                  <w:rFonts w:ascii="Arial" w:hAnsi="Arial" w:cs="Arial"/>
                  <w:sz w:val="20"/>
                  <w:szCs w:val="20"/>
                  <w:u w:val="single"/>
                </w:rPr>
                <w:t>https://www.vcgs.org.au/tests/maternal-serum-screening</w:t>
              </w:r>
            </w:hyperlink>
          </w:p>
        </w:tc>
      </w:tr>
      <w:bookmarkEnd w:id="51"/>
    </w:tbl>
    <w:p w14:paraId="35FADE65" w14:textId="77777777" w:rsidR="00823C57" w:rsidRPr="00BA1B7B" w:rsidRDefault="00823C57" w:rsidP="00823C57">
      <w:pPr>
        <w:rPr>
          <w:rFonts w:ascii="Arial" w:hAnsi="Arial" w:cs="Arial"/>
          <w:sz w:val="20"/>
          <w:szCs w:val="20"/>
        </w:rPr>
      </w:pPr>
    </w:p>
    <w:p w14:paraId="4BAA51C5" w14:textId="033A8914" w:rsidR="00823C57" w:rsidRPr="00BA1B7B" w:rsidRDefault="00823C57" w:rsidP="00823C57">
      <w:pPr>
        <w:spacing w:line="276" w:lineRule="auto"/>
        <w:rPr>
          <w:rFonts w:ascii="Arial" w:hAnsi="Arial" w:cs="Arial"/>
          <w:b/>
          <w:bCs/>
          <w:sz w:val="20"/>
          <w:szCs w:val="20"/>
        </w:rPr>
      </w:pPr>
    </w:p>
    <w:p w14:paraId="600FD6AB"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Diagnostic Screening Tests</w:t>
      </w:r>
    </w:p>
    <w:p w14:paraId="5AAB51BC"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If a woman receives a screening result with a high-risk for fetal chromosomal abnormalities, following counselling her and her partner/family may decide to proceed with further testing. The type of testing offered is dependent on gestation. </w:t>
      </w:r>
    </w:p>
    <w:p w14:paraId="796B7D8C"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Diagnostic Tests involve invasive procedures and carry an element of risk to the woman and her baby. The two tests available are chorionic villus sampling (CVS) and amniocentesis. These tests work through an analysis of fetal chromosomal cells collected from placental tissue (CVS) or fetal skin cells present in amniotic fluid (amniocentesis). </w:t>
      </w:r>
    </w:p>
    <w:p w14:paraId="2BBC6569" w14:textId="77777777" w:rsidR="00823C57" w:rsidRPr="00BA1B7B" w:rsidRDefault="00823C57" w:rsidP="00823C57">
      <w:pPr>
        <w:spacing w:line="276" w:lineRule="auto"/>
        <w:rPr>
          <w:rFonts w:ascii="Arial" w:hAnsi="Arial" w:cs="Arial"/>
          <w:b/>
          <w:bCs/>
          <w:sz w:val="20"/>
          <w:szCs w:val="20"/>
        </w:rPr>
      </w:pPr>
      <w:bookmarkStart w:id="52" w:name="_Hlk47442428"/>
      <w:r w:rsidRPr="00BA1B7B">
        <w:rPr>
          <w:rFonts w:ascii="Arial" w:hAnsi="Arial" w:cs="Arial"/>
          <w:b/>
          <w:bCs/>
          <w:sz w:val="20"/>
          <w:szCs w:val="20"/>
        </w:rPr>
        <w:t>Chorionic Villus Sampling</w:t>
      </w:r>
      <w:bookmarkEnd w:id="52"/>
      <w:r w:rsidRPr="00BA1B7B">
        <w:rPr>
          <w:rFonts w:ascii="Arial" w:hAnsi="Arial" w:cs="Arial"/>
          <w:b/>
          <w:bCs/>
          <w:sz w:val="20"/>
          <w:szCs w:val="20"/>
        </w:rPr>
        <w:t xml:space="preserve"> (CVS)</w:t>
      </w:r>
    </w:p>
    <w:p w14:paraId="758B493A"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Chorionic Villus Sampling (CVS) can be performed through Eastern Health at Box Hill Hospital. At Eastern Health CVS can only be performed after 12 weeks gestation. CVS carries a risk of 1 in 500 of causing a miscarriage. </w:t>
      </w:r>
    </w:p>
    <w:p w14:paraId="7B853F56"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Indications for Consideration of Chorionic Villus Sampling – </w:t>
      </w:r>
    </w:p>
    <w:p w14:paraId="41DBBD74" w14:textId="77777777" w:rsidR="00823C57" w:rsidRPr="00BA1B7B" w:rsidRDefault="00823C57" w:rsidP="004A22FD">
      <w:pPr>
        <w:pStyle w:val="ListParagraph"/>
        <w:numPr>
          <w:ilvl w:val="0"/>
          <w:numId w:val="19"/>
        </w:numPr>
        <w:spacing w:line="276" w:lineRule="auto"/>
        <w:rPr>
          <w:rFonts w:ascii="Arial" w:hAnsi="Arial" w:cs="Arial"/>
          <w:sz w:val="20"/>
          <w:szCs w:val="20"/>
        </w:rPr>
      </w:pPr>
      <w:r w:rsidRPr="00BA1B7B">
        <w:rPr>
          <w:rFonts w:ascii="Arial" w:hAnsi="Arial" w:cs="Arial"/>
          <w:sz w:val="20"/>
          <w:szCs w:val="20"/>
        </w:rPr>
        <w:t>Women who have previously had a child with chromosomal abnormalities</w:t>
      </w:r>
    </w:p>
    <w:p w14:paraId="25FFE4AF" w14:textId="77777777" w:rsidR="00823C57" w:rsidRPr="00BA1B7B" w:rsidRDefault="00823C57" w:rsidP="004A22FD">
      <w:pPr>
        <w:pStyle w:val="ListParagraph"/>
        <w:numPr>
          <w:ilvl w:val="0"/>
          <w:numId w:val="19"/>
        </w:numPr>
        <w:spacing w:line="276" w:lineRule="auto"/>
        <w:rPr>
          <w:rFonts w:ascii="Arial" w:hAnsi="Arial" w:cs="Arial"/>
          <w:sz w:val="20"/>
          <w:szCs w:val="20"/>
        </w:rPr>
      </w:pPr>
      <w:r w:rsidRPr="00BA1B7B">
        <w:rPr>
          <w:rFonts w:ascii="Arial" w:hAnsi="Arial" w:cs="Arial"/>
          <w:sz w:val="20"/>
          <w:szCs w:val="20"/>
        </w:rPr>
        <w:t>Women who have a family history of inherited genetic diseases</w:t>
      </w:r>
    </w:p>
    <w:p w14:paraId="64F4C35F" w14:textId="77777777" w:rsidR="00823C57" w:rsidRPr="00BA1B7B" w:rsidRDefault="00823C57" w:rsidP="004A22FD">
      <w:pPr>
        <w:pStyle w:val="ListParagraph"/>
        <w:numPr>
          <w:ilvl w:val="0"/>
          <w:numId w:val="19"/>
        </w:numPr>
        <w:spacing w:line="276" w:lineRule="auto"/>
        <w:rPr>
          <w:rFonts w:ascii="Arial" w:hAnsi="Arial" w:cs="Arial"/>
          <w:sz w:val="20"/>
          <w:szCs w:val="20"/>
        </w:rPr>
      </w:pPr>
      <w:r w:rsidRPr="00BA1B7B">
        <w:rPr>
          <w:rFonts w:ascii="Arial" w:hAnsi="Arial" w:cs="Arial"/>
          <w:sz w:val="20"/>
          <w:szCs w:val="20"/>
        </w:rPr>
        <w:t>Women who have a high risk of a fetus with a diagnosable defect</w:t>
      </w:r>
    </w:p>
    <w:p w14:paraId="1CF7FD63" w14:textId="77777777" w:rsidR="00823C57" w:rsidRPr="00BA1B7B" w:rsidRDefault="00823C57" w:rsidP="004A22FD">
      <w:pPr>
        <w:pStyle w:val="ListParagraph"/>
        <w:numPr>
          <w:ilvl w:val="0"/>
          <w:numId w:val="19"/>
        </w:numPr>
        <w:spacing w:line="276" w:lineRule="auto"/>
        <w:rPr>
          <w:rFonts w:ascii="Arial" w:hAnsi="Arial" w:cs="Arial"/>
          <w:sz w:val="20"/>
          <w:szCs w:val="20"/>
        </w:rPr>
      </w:pPr>
      <w:r w:rsidRPr="00BA1B7B">
        <w:rPr>
          <w:rFonts w:ascii="Arial" w:hAnsi="Arial" w:cs="Arial"/>
          <w:sz w:val="20"/>
          <w:szCs w:val="20"/>
        </w:rPr>
        <w:lastRenderedPageBreak/>
        <w:t>Women who return an abnormal 'serum screen' blood test or ultrasound examination result</w:t>
      </w:r>
    </w:p>
    <w:p w14:paraId="70C08BB0" w14:textId="77777777" w:rsidR="00823C57" w:rsidRPr="00BA1B7B" w:rsidRDefault="00823C57" w:rsidP="00823C57">
      <w:pPr>
        <w:spacing w:line="276" w:lineRule="auto"/>
        <w:rPr>
          <w:rFonts w:ascii="Arial" w:hAnsi="Arial" w:cs="Arial"/>
          <w:sz w:val="20"/>
          <w:szCs w:val="20"/>
        </w:rPr>
      </w:pPr>
      <w:bookmarkStart w:id="53" w:name="_Hlk47535330"/>
      <w:r w:rsidRPr="00BA1B7B">
        <w:rPr>
          <w:rFonts w:ascii="Arial" w:hAnsi="Arial" w:cs="Arial"/>
          <w:sz w:val="20"/>
          <w:szCs w:val="20"/>
        </w:rPr>
        <w:t xml:space="preserve">Before CVS is performed, women and their partner/families require counselling from a genetics counsellor or doctor on the risks and benefits of the procedure, the possible implications of the results of the procedure and the couple’s response to an abnormal result. This discussion ideally should be held prior to the day of the procedure to allow for an informed decision. Women considering this procedure should be provided with access to reputable resources explaining the procedure, risks and benefits. </w:t>
      </w:r>
    </w:p>
    <w:p w14:paraId="25BBDF24"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sz w:val="20"/>
          <w:szCs w:val="20"/>
        </w:rPr>
        <w:t xml:space="preserve">The results of the test are generally available within 10-14 days of the procedure, however women can opt to have a Fluorescent in situ hybridisation (FISH) analysis performed on the sample obtained during the CVS and receive a preliminary result within 48-72 hours assessing the number of chromosomes present specifically looking at chromosomes 21, 18, 13 and x/or y. </w:t>
      </w:r>
    </w:p>
    <w:bookmarkEnd w:id="53"/>
    <w:p w14:paraId="336C39D3" w14:textId="77777777" w:rsidR="00823C57" w:rsidRPr="00BA1B7B" w:rsidRDefault="00823C57" w:rsidP="00823C57">
      <w:pPr>
        <w:spacing w:line="276" w:lineRule="auto"/>
        <w:rPr>
          <w:rFonts w:ascii="Arial" w:hAnsi="Arial" w:cs="Arial"/>
          <w:sz w:val="20"/>
          <w:szCs w:val="20"/>
        </w:rPr>
      </w:pPr>
    </w:p>
    <w:p w14:paraId="59F33402"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Amniocentesis:</w:t>
      </w:r>
    </w:p>
    <w:p w14:paraId="621F2131" w14:textId="77777777" w:rsidR="00823C57" w:rsidRPr="00BA1B7B" w:rsidRDefault="00823C57" w:rsidP="00823C57">
      <w:pPr>
        <w:spacing w:line="276" w:lineRule="auto"/>
        <w:rPr>
          <w:rFonts w:ascii="Arial" w:hAnsi="Arial" w:cs="Arial"/>
          <w:sz w:val="20"/>
          <w:szCs w:val="20"/>
        </w:rPr>
      </w:pPr>
      <w:bookmarkStart w:id="54" w:name="_Hlk47442265"/>
      <w:r w:rsidRPr="00BA1B7B">
        <w:rPr>
          <w:rFonts w:ascii="Arial" w:hAnsi="Arial" w:cs="Arial"/>
          <w:sz w:val="20"/>
          <w:szCs w:val="20"/>
        </w:rPr>
        <w:t xml:space="preserve">An amniocentesis can be performed through Eastern Health at Box Hill Hospital. At Eastern Health, an Amniocentesis can only be performed after 16 weeks gestation. An amniocentesis carries a risk of 1 in 1000 of causing a miscarriage </w:t>
      </w:r>
    </w:p>
    <w:p w14:paraId="5F49474A"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Indications for Consideration of an Amniocentesis – </w:t>
      </w:r>
    </w:p>
    <w:p w14:paraId="1940D0B4" w14:textId="77777777" w:rsidR="00823C57" w:rsidRPr="00BA1B7B" w:rsidRDefault="00823C57" w:rsidP="004A22FD">
      <w:pPr>
        <w:pStyle w:val="ListParagraph"/>
        <w:numPr>
          <w:ilvl w:val="0"/>
          <w:numId w:val="19"/>
        </w:numPr>
        <w:spacing w:line="276" w:lineRule="auto"/>
        <w:rPr>
          <w:rFonts w:ascii="Arial" w:hAnsi="Arial" w:cs="Arial"/>
          <w:sz w:val="20"/>
          <w:szCs w:val="20"/>
        </w:rPr>
      </w:pPr>
      <w:r w:rsidRPr="00BA1B7B">
        <w:rPr>
          <w:rFonts w:ascii="Arial" w:hAnsi="Arial" w:cs="Arial"/>
          <w:sz w:val="20"/>
          <w:szCs w:val="20"/>
        </w:rPr>
        <w:t>Women who have previously had a child with chromosomal abnormalities</w:t>
      </w:r>
    </w:p>
    <w:p w14:paraId="669355AA" w14:textId="77777777" w:rsidR="00823C57" w:rsidRPr="00BA1B7B" w:rsidRDefault="00823C57" w:rsidP="004A22FD">
      <w:pPr>
        <w:pStyle w:val="ListParagraph"/>
        <w:numPr>
          <w:ilvl w:val="0"/>
          <w:numId w:val="19"/>
        </w:numPr>
        <w:spacing w:line="276" w:lineRule="auto"/>
        <w:rPr>
          <w:rFonts w:ascii="Arial" w:hAnsi="Arial" w:cs="Arial"/>
          <w:sz w:val="20"/>
          <w:szCs w:val="20"/>
        </w:rPr>
      </w:pPr>
      <w:r w:rsidRPr="00BA1B7B">
        <w:rPr>
          <w:rFonts w:ascii="Arial" w:hAnsi="Arial" w:cs="Arial"/>
          <w:sz w:val="20"/>
          <w:szCs w:val="20"/>
        </w:rPr>
        <w:t>Women who have a family history of inherited genetic diseases</w:t>
      </w:r>
    </w:p>
    <w:p w14:paraId="3D4A5784" w14:textId="77777777" w:rsidR="00823C57" w:rsidRPr="00BA1B7B" w:rsidRDefault="00823C57" w:rsidP="004A22FD">
      <w:pPr>
        <w:pStyle w:val="ListParagraph"/>
        <w:numPr>
          <w:ilvl w:val="0"/>
          <w:numId w:val="19"/>
        </w:numPr>
        <w:spacing w:line="276" w:lineRule="auto"/>
        <w:rPr>
          <w:rFonts w:ascii="Arial" w:hAnsi="Arial" w:cs="Arial"/>
          <w:sz w:val="20"/>
          <w:szCs w:val="20"/>
        </w:rPr>
      </w:pPr>
      <w:r w:rsidRPr="00BA1B7B">
        <w:rPr>
          <w:rFonts w:ascii="Arial" w:hAnsi="Arial" w:cs="Arial"/>
          <w:sz w:val="20"/>
          <w:szCs w:val="20"/>
        </w:rPr>
        <w:t>Women who have a high risk of a fetus with a diagnosable defect</w:t>
      </w:r>
    </w:p>
    <w:p w14:paraId="680C26FC" w14:textId="77777777" w:rsidR="00823C57" w:rsidRPr="00BA1B7B" w:rsidRDefault="00823C57" w:rsidP="004A22FD">
      <w:pPr>
        <w:pStyle w:val="ListParagraph"/>
        <w:numPr>
          <w:ilvl w:val="0"/>
          <w:numId w:val="19"/>
        </w:numPr>
        <w:spacing w:line="276" w:lineRule="auto"/>
        <w:rPr>
          <w:rFonts w:ascii="Arial" w:hAnsi="Arial" w:cs="Arial"/>
          <w:sz w:val="20"/>
          <w:szCs w:val="20"/>
        </w:rPr>
      </w:pPr>
      <w:r w:rsidRPr="00BA1B7B">
        <w:rPr>
          <w:rFonts w:ascii="Arial" w:hAnsi="Arial" w:cs="Arial"/>
          <w:sz w:val="20"/>
          <w:szCs w:val="20"/>
        </w:rPr>
        <w:t>Women who return an abnormal 'serum screen' blood test or ultrasound examination result</w:t>
      </w:r>
    </w:p>
    <w:p w14:paraId="35408F0E" w14:textId="77777777" w:rsidR="00823C57" w:rsidRPr="00BA1B7B" w:rsidRDefault="00823C57" w:rsidP="00823C57">
      <w:pPr>
        <w:spacing w:line="276" w:lineRule="auto"/>
        <w:rPr>
          <w:rFonts w:ascii="Arial" w:hAnsi="Arial" w:cs="Arial"/>
          <w:sz w:val="20"/>
          <w:szCs w:val="20"/>
        </w:rPr>
      </w:pPr>
    </w:p>
    <w:p w14:paraId="08BCC915"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Prior to amniocentesis is performed, women and their partner/families require counselling from a genetics counsellor or doctor on the risks and benefits of the procedure, the possible implications of the results of the procedure and the couple’s response to an abnormal result. This discussion ideally should be held prior to the day of the procedure to allow for an informed decision. Women considering this procedure should be provided with access to reputable resources explaining the procedure, risks and benefits. </w:t>
      </w:r>
    </w:p>
    <w:p w14:paraId="4D7AD88F"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The results of the test are generally available within 10-14 days of the procedure, however women can opt to have a Fluorescent in situ hybridisation (FISH) analysis performed on the sample obtained </w:t>
      </w:r>
    </w:p>
    <w:p w14:paraId="3E11432A" w14:textId="27937F86" w:rsidR="00823C57" w:rsidRPr="00BA1B7B" w:rsidRDefault="00823C57" w:rsidP="00823C57">
      <w:pPr>
        <w:spacing w:line="276" w:lineRule="auto"/>
        <w:rPr>
          <w:rFonts w:ascii="Arial" w:hAnsi="Arial" w:cs="Arial"/>
          <w:b/>
          <w:bCs/>
          <w:sz w:val="20"/>
          <w:szCs w:val="20"/>
        </w:rPr>
      </w:pPr>
      <w:r w:rsidRPr="00BA1B7B">
        <w:rPr>
          <w:rFonts w:ascii="Arial" w:hAnsi="Arial" w:cs="Arial"/>
          <w:sz w:val="20"/>
          <w:szCs w:val="20"/>
        </w:rPr>
        <w:t xml:space="preserve">during the CVS and receive a preliminary result within 48-72 hours assessing the number of chromosomes present specifically looking at chromosomes 21, 18, 13 and x/or y. </w:t>
      </w:r>
    </w:p>
    <w:bookmarkEnd w:id="54"/>
    <w:p w14:paraId="374A7B33" w14:textId="77777777" w:rsidR="00823C57" w:rsidRPr="00BA1B7B" w:rsidRDefault="00823C57" w:rsidP="00823C57">
      <w:pPr>
        <w:spacing w:line="276" w:lineRule="auto"/>
        <w:rPr>
          <w:rFonts w:ascii="Arial" w:hAnsi="Arial" w:cs="Arial"/>
          <w:sz w:val="20"/>
          <w:szCs w:val="20"/>
        </w:rPr>
      </w:pPr>
    </w:p>
    <w:p w14:paraId="3F651E4E" w14:textId="7D635C2D" w:rsidR="00823C57" w:rsidRPr="00BA1B7B" w:rsidRDefault="00823C57" w:rsidP="00823C57">
      <w:pPr>
        <w:spacing w:line="276" w:lineRule="auto"/>
        <w:jc w:val="center"/>
        <w:rPr>
          <w:rFonts w:ascii="Arial" w:hAnsi="Arial" w:cs="Arial"/>
          <w:b/>
          <w:bCs/>
          <w:sz w:val="20"/>
          <w:szCs w:val="20"/>
        </w:rPr>
      </w:pPr>
      <w:r w:rsidRPr="00BA1B7B">
        <w:rPr>
          <w:rFonts w:ascii="Arial" w:hAnsi="Arial" w:cs="Arial"/>
          <w:b/>
          <w:bCs/>
          <w:sz w:val="20"/>
          <w:szCs w:val="20"/>
        </w:rPr>
        <w:t xml:space="preserve">Fax ALL abnormal results to Maternity Bookings and/or call Fetal Diagnostic Service </w:t>
      </w:r>
      <w:r w:rsidR="00BE2083" w:rsidRPr="00BA1B7B">
        <w:rPr>
          <w:rFonts w:ascii="Arial" w:hAnsi="Arial" w:cs="Arial"/>
          <w:b/>
          <w:bCs/>
          <w:sz w:val="20"/>
          <w:szCs w:val="20"/>
        </w:rPr>
        <w:t>- Screening enquiries – see p6</w:t>
      </w:r>
      <w:r w:rsidRPr="00BA1B7B">
        <w:rPr>
          <w:rFonts w:ascii="Arial" w:hAnsi="Arial" w:cs="Arial"/>
          <w:b/>
          <w:bCs/>
          <w:sz w:val="20"/>
          <w:szCs w:val="20"/>
        </w:rPr>
        <w:t xml:space="preserve"> for contact details</w:t>
      </w:r>
    </w:p>
    <w:p w14:paraId="25487AD1" w14:textId="77777777" w:rsidR="00823C57" w:rsidRPr="00BA1B7B" w:rsidRDefault="00823C57" w:rsidP="00823C57">
      <w:pPr>
        <w:spacing w:line="276" w:lineRule="auto"/>
        <w:rPr>
          <w:rFonts w:ascii="Arial" w:hAnsi="Arial" w:cs="Arial"/>
          <w:sz w:val="20"/>
          <w:szCs w:val="20"/>
        </w:rPr>
      </w:pPr>
    </w:p>
    <w:p w14:paraId="689C6DA7" w14:textId="3CF39BC1" w:rsidR="00823C57" w:rsidRPr="00BA1B7B" w:rsidRDefault="00823C57"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55" w:name="_Toc120614297"/>
      <w:r w:rsidRPr="00BA1B7B">
        <w:rPr>
          <w:rFonts w:ascii="Arial" w:eastAsia="Times New Roman" w:hAnsi="Arial" w:cs="Arial"/>
          <w:b/>
          <w:bCs/>
          <w:sz w:val="20"/>
          <w:szCs w:val="20"/>
          <w:lang w:eastAsia="en-AU"/>
        </w:rPr>
        <w:t>5.4 S</w:t>
      </w:r>
      <w:r w:rsidR="007A499C" w:rsidRPr="00BA1B7B">
        <w:rPr>
          <w:rFonts w:ascii="Arial" w:eastAsia="Times New Roman" w:hAnsi="Arial" w:cs="Arial"/>
          <w:b/>
          <w:bCs/>
          <w:sz w:val="20"/>
          <w:szCs w:val="20"/>
          <w:lang w:eastAsia="en-AU"/>
        </w:rPr>
        <w:t>econd Trimester Screening</w:t>
      </w:r>
      <w:bookmarkEnd w:id="55"/>
      <w:r w:rsidRPr="00BA1B7B">
        <w:rPr>
          <w:rFonts w:ascii="Arial" w:eastAsia="Times New Roman" w:hAnsi="Arial" w:cs="Arial"/>
          <w:b/>
          <w:bCs/>
          <w:sz w:val="20"/>
          <w:szCs w:val="20"/>
          <w:lang w:eastAsia="en-AU"/>
        </w:rPr>
        <w:t xml:space="preserve"> </w:t>
      </w:r>
    </w:p>
    <w:p w14:paraId="0DA61146"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2</w:t>
      </w:r>
      <w:r w:rsidRPr="00BA1B7B">
        <w:rPr>
          <w:rFonts w:ascii="Arial" w:hAnsi="Arial" w:cs="Arial"/>
          <w:b/>
          <w:bCs/>
          <w:sz w:val="20"/>
          <w:szCs w:val="20"/>
          <w:vertAlign w:val="superscript"/>
        </w:rPr>
        <w:t>nd</w:t>
      </w:r>
      <w:r w:rsidRPr="00BA1B7B">
        <w:rPr>
          <w:rFonts w:ascii="Arial" w:hAnsi="Arial" w:cs="Arial"/>
          <w:b/>
          <w:bCs/>
          <w:sz w:val="20"/>
          <w:szCs w:val="20"/>
        </w:rPr>
        <w:t xml:space="preserve"> Trimester Fetal Morphology Ultrasound – Recommended to be performed between 19-22 weeks.</w:t>
      </w:r>
    </w:p>
    <w:p w14:paraId="36F174D6"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All women should be offered a fetal morphology ultrasound between 19+0 weeks and 22+0 weeks. The ideal window for this scan is between 21+0 and 22+0. </w:t>
      </w:r>
    </w:p>
    <w:p w14:paraId="681BF761"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lastRenderedPageBreak/>
        <w:t xml:space="preserve">This ultrasound can be used to detect some structural fetal abnormalities such as neural tube defects, cardiac and gastrointestinal abnormalities and limb defects. This scan will also locate placental position, assess cervical length, identify uterine or ovarian abnormalities and confirms the accuracy of estimated due dates. </w:t>
      </w:r>
    </w:p>
    <w:p w14:paraId="13EE2293"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This morphology scan can be ordered by the GP or by the doctors at the hospital during a woman’s first antenatal appointment.  Imaging requests should include the woman’s estimated due date, Parity, BMI and any other relevant factors (such as abnormalities identified in earlier investigations).</w:t>
      </w:r>
    </w:p>
    <w:p w14:paraId="31B12F2E"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The scan can be performed at either Eastern Health medical imaging departments or external providers. It is the ordering doctor’s responsibility to follow up ultrasound results. </w:t>
      </w:r>
    </w:p>
    <w:p w14:paraId="756BC004"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Women who have fetal abnormalities identified in their scan that require follow up should be referred to the Eastern Health genetics services (see p8 for contact details) for obstetric maternal ultrasound concerns (for example placenta praevia) please refer women back the obstetric team at Eastern health for review. (For non-urgent referrals – this can be addressed at the woman’s 28 week appointment at the hospital) For urgent concerns, contact the Obstetric registrar on call at the relevant EH site on 1300 EH CARE. </w:t>
      </w:r>
    </w:p>
    <w:p w14:paraId="41B23E28"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Women who have a low-lying placenta identified at the 20-week ultrasound will require an additional scan at 32-34 weeks. (</w:t>
      </w:r>
      <w:r w:rsidRPr="00BA1B7B">
        <w:rPr>
          <w:rFonts w:ascii="Arial" w:hAnsi="Arial" w:cs="Arial"/>
          <w:i/>
          <w:iCs/>
          <w:sz w:val="20"/>
          <w:szCs w:val="20"/>
        </w:rPr>
        <w:t>See section 6.7 for additional information on this</w:t>
      </w:r>
      <w:r w:rsidRPr="00BA1B7B">
        <w:rPr>
          <w:rFonts w:ascii="Arial" w:hAnsi="Arial" w:cs="Arial"/>
          <w:sz w:val="20"/>
          <w:szCs w:val="20"/>
        </w:rPr>
        <w:t>).</w:t>
      </w:r>
    </w:p>
    <w:p w14:paraId="6E07632A" w14:textId="77777777" w:rsidR="00823C57" w:rsidRPr="00BA1B7B" w:rsidRDefault="00823C57" w:rsidP="00823C57">
      <w:pPr>
        <w:spacing w:line="276" w:lineRule="auto"/>
        <w:rPr>
          <w:rFonts w:ascii="Arial" w:hAnsi="Arial" w:cs="Arial"/>
          <w:b/>
          <w:bCs/>
          <w:sz w:val="20"/>
          <w:szCs w:val="20"/>
        </w:rPr>
      </w:pPr>
    </w:p>
    <w:p w14:paraId="2C742BE9" w14:textId="25D4FE07" w:rsidR="00823C57" w:rsidRDefault="00823C57" w:rsidP="00823C57">
      <w:pPr>
        <w:spacing w:line="276" w:lineRule="auto"/>
        <w:rPr>
          <w:rFonts w:ascii="Arial" w:hAnsi="Arial" w:cs="Arial"/>
          <w:b/>
          <w:bCs/>
          <w:sz w:val="20"/>
          <w:szCs w:val="20"/>
        </w:rPr>
      </w:pPr>
      <w:r w:rsidRPr="00BA1B7B">
        <w:rPr>
          <w:rFonts w:ascii="Arial" w:hAnsi="Arial" w:cs="Arial"/>
          <w:b/>
          <w:bCs/>
          <w:sz w:val="20"/>
          <w:szCs w:val="20"/>
        </w:rPr>
        <w:t>Oral Glucose tolerance test (OGTT) – Recommended to be performed between 26-28 weeks</w:t>
      </w:r>
    </w:p>
    <w:p w14:paraId="77220E2F" w14:textId="77777777" w:rsidR="005F1FD7" w:rsidRPr="00BA1B7B" w:rsidRDefault="005F1FD7" w:rsidP="00823C57">
      <w:pPr>
        <w:spacing w:line="276" w:lineRule="auto"/>
        <w:rPr>
          <w:rFonts w:ascii="Arial" w:hAnsi="Arial" w:cs="Arial"/>
          <w:b/>
          <w:bCs/>
          <w:sz w:val="20"/>
          <w:szCs w:val="20"/>
        </w:rPr>
      </w:pPr>
    </w:p>
    <w:p w14:paraId="7FC5419D"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 xml:space="preserve">It is recommended that all women are screened ideally at 26-28 weeks pregnancy for gestational diabetes (GDM). Women who were previously screened earlier in their pregnancy for GDM and tested negative should still be retested at 26-28 weeks.  </w:t>
      </w:r>
      <w:bookmarkStart w:id="56" w:name="_Hlk47096716"/>
      <w:r w:rsidRPr="00BA1B7B">
        <w:rPr>
          <w:rFonts w:ascii="Arial" w:hAnsi="Arial" w:cs="Arial"/>
          <w:sz w:val="20"/>
          <w:szCs w:val="20"/>
        </w:rPr>
        <w:t>The 75g Oral Glucose Tolerance Test (OGTT) is a 2</w:t>
      </w:r>
      <w:r w:rsidR="009F1AD6" w:rsidRPr="00BA1B7B">
        <w:rPr>
          <w:rFonts w:ascii="Arial" w:hAnsi="Arial" w:cs="Arial"/>
          <w:sz w:val="20"/>
          <w:szCs w:val="20"/>
        </w:rPr>
        <w:t xml:space="preserve"> </w:t>
      </w:r>
      <w:r w:rsidRPr="00BA1B7B">
        <w:rPr>
          <w:rFonts w:ascii="Arial" w:hAnsi="Arial" w:cs="Arial"/>
          <w:sz w:val="20"/>
          <w:szCs w:val="20"/>
        </w:rPr>
        <w:t xml:space="preserve">hour fasting test and is considered the current Gold standard for diagnosis. Women should be instructed to fast for 12 hours prior to the test. Fasting plasma glucose is measured, before women are required to drink a 75gram glucose drink, and have their plasma glucose levels rechecked 1 hour and 2 hours post consumption. </w:t>
      </w:r>
    </w:p>
    <w:p w14:paraId="4D73182C" w14:textId="77777777" w:rsidR="00823C57" w:rsidRPr="00BA1B7B" w:rsidRDefault="00823C57" w:rsidP="00823C57">
      <w:pPr>
        <w:spacing w:line="276" w:lineRule="auto"/>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Diagnosis of Gestational diabetes at Eastern Health is made if </w:t>
      </w:r>
      <w:r w:rsidRPr="00BA1B7B">
        <w:rPr>
          <w:rFonts w:ascii="Arial" w:eastAsia="Times New Roman" w:hAnsi="Arial" w:cs="Arial"/>
          <w:b/>
          <w:bCs/>
          <w:sz w:val="20"/>
          <w:szCs w:val="20"/>
          <w:lang w:eastAsia="en-AU"/>
        </w:rPr>
        <w:t>one or more</w:t>
      </w:r>
      <w:r w:rsidRPr="00BA1B7B">
        <w:rPr>
          <w:rFonts w:ascii="Arial" w:eastAsia="Times New Roman" w:hAnsi="Arial" w:cs="Arial"/>
          <w:sz w:val="20"/>
          <w:szCs w:val="20"/>
          <w:lang w:eastAsia="en-AU"/>
        </w:rPr>
        <w:t xml:space="preserve"> of the following glucose levels are elevated</w:t>
      </w:r>
      <w:r w:rsidRPr="00BA1B7B">
        <w:rPr>
          <w:rFonts w:ascii="Arial" w:eastAsia="Times New Roman" w:hAnsi="Arial" w:cs="Arial"/>
          <w:b/>
          <w:sz w:val="20"/>
          <w:szCs w:val="20"/>
          <w:lang w:eastAsia="en-AU"/>
        </w:rPr>
        <w:t>;</w:t>
      </w:r>
    </w:p>
    <w:p w14:paraId="0F6C38C4" w14:textId="77777777" w:rsidR="005F1FD7" w:rsidRDefault="00823C57" w:rsidP="00823C57">
      <w:pPr>
        <w:spacing w:line="276" w:lineRule="auto"/>
        <w:ind w:left="405"/>
        <w:jc w:val="center"/>
        <w:rPr>
          <w:rFonts w:ascii="Arial" w:eastAsia="Times New Roman" w:hAnsi="Arial" w:cs="Arial"/>
          <w:b/>
          <w:sz w:val="20"/>
          <w:szCs w:val="20"/>
          <w:lang w:eastAsia="en-AU"/>
        </w:rPr>
      </w:pPr>
      <w:r w:rsidRPr="00BA1B7B">
        <w:rPr>
          <w:rFonts w:ascii="Arial" w:eastAsia="Times New Roman" w:hAnsi="Arial" w:cs="Arial"/>
          <w:b/>
          <w:sz w:val="20"/>
          <w:szCs w:val="20"/>
          <w:u w:val="single"/>
          <w:lang w:eastAsia="en-AU"/>
        </w:rPr>
        <w:t>Fasting glucose</w:t>
      </w:r>
      <w:r w:rsidRPr="00BA1B7B">
        <w:rPr>
          <w:rFonts w:ascii="Arial" w:eastAsia="Times New Roman" w:hAnsi="Arial" w:cs="Arial"/>
          <w:b/>
          <w:sz w:val="20"/>
          <w:szCs w:val="20"/>
          <w:lang w:eastAsia="en-AU"/>
        </w:rPr>
        <w:t xml:space="preserve"> </w:t>
      </w:r>
      <w:r w:rsidRPr="00BA1B7B">
        <w:rPr>
          <w:rFonts w:ascii="Arial" w:eastAsia="Times New Roman" w:hAnsi="Arial" w:cs="Arial"/>
          <w:bCs/>
          <w:sz w:val="20"/>
          <w:szCs w:val="20"/>
          <w:lang w:eastAsia="en-AU"/>
        </w:rPr>
        <w:t>≥ 5.1 mmol/L</w:t>
      </w:r>
      <w:r w:rsidRPr="00BA1B7B">
        <w:rPr>
          <w:rFonts w:ascii="Arial" w:eastAsia="Times New Roman" w:hAnsi="Arial" w:cs="Arial"/>
          <w:b/>
          <w:sz w:val="20"/>
          <w:szCs w:val="20"/>
          <w:lang w:eastAsia="en-AU"/>
        </w:rPr>
        <w:t xml:space="preserve"> </w:t>
      </w:r>
    </w:p>
    <w:p w14:paraId="654AA098" w14:textId="77777777" w:rsidR="005F1FD7" w:rsidRDefault="00823C57" w:rsidP="00823C57">
      <w:pPr>
        <w:spacing w:line="276" w:lineRule="auto"/>
        <w:ind w:left="405"/>
        <w:jc w:val="center"/>
        <w:rPr>
          <w:rFonts w:ascii="Arial" w:eastAsia="Times New Roman" w:hAnsi="Arial" w:cs="Arial"/>
          <w:b/>
          <w:sz w:val="20"/>
          <w:szCs w:val="20"/>
          <w:lang w:eastAsia="en-AU"/>
        </w:rPr>
      </w:pPr>
      <w:r w:rsidRPr="00BA1B7B">
        <w:rPr>
          <w:rFonts w:ascii="Arial" w:eastAsia="Times New Roman" w:hAnsi="Arial" w:cs="Arial"/>
          <w:b/>
          <w:sz w:val="20"/>
          <w:szCs w:val="20"/>
          <w:u w:val="single"/>
          <w:lang w:eastAsia="en-AU"/>
        </w:rPr>
        <w:t>1-hr glucose</w:t>
      </w:r>
      <w:r w:rsidRPr="00BA1B7B">
        <w:rPr>
          <w:rFonts w:ascii="Arial" w:eastAsia="Times New Roman" w:hAnsi="Arial" w:cs="Arial"/>
          <w:b/>
          <w:sz w:val="20"/>
          <w:szCs w:val="20"/>
          <w:lang w:eastAsia="en-AU"/>
        </w:rPr>
        <w:t xml:space="preserve"> </w:t>
      </w:r>
      <w:r w:rsidRPr="00BA1B7B">
        <w:rPr>
          <w:rFonts w:ascii="Arial" w:eastAsia="Times New Roman" w:hAnsi="Arial" w:cs="Arial"/>
          <w:bCs/>
          <w:sz w:val="20"/>
          <w:szCs w:val="20"/>
          <w:lang w:eastAsia="en-AU"/>
        </w:rPr>
        <w:t>≥ 10.0 mmol/L</w:t>
      </w:r>
      <w:r w:rsidRPr="00BA1B7B">
        <w:rPr>
          <w:rFonts w:ascii="Arial" w:eastAsia="Times New Roman" w:hAnsi="Arial" w:cs="Arial"/>
          <w:b/>
          <w:sz w:val="20"/>
          <w:szCs w:val="20"/>
          <w:lang w:eastAsia="en-AU"/>
        </w:rPr>
        <w:t xml:space="preserve"> </w:t>
      </w:r>
    </w:p>
    <w:p w14:paraId="53733ECD" w14:textId="7AFFC583" w:rsidR="00823C57" w:rsidRDefault="00823C57" w:rsidP="00823C57">
      <w:pPr>
        <w:spacing w:line="276" w:lineRule="auto"/>
        <w:ind w:left="405"/>
        <w:jc w:val="center"/>
        <w:rPr>
          <w:rFonts w:ascii="Arial" w:eastAsia="Times New Roman" w:hAnsi="Arial" w:cs="Arial"/>
          <w:bCs/>
          <w:sz w:val="20"/>
          <w:szCs w:val="20"/>
          <w:lang w:eastAsia="en-AU"/>
        </w:rPr>
      </w:pPr>
      <w:r w:rsidRPr="00BA1B7B">
        <w:rPr>
          <w:rFonts w:ascii="Arial" w:eastAsia="Times New Roman" w:hAnsi="Arial" w:cs="Arial"/>
          <w:b/>
          <w:sz w:val="20"/>
          <w:szCs w:val="20"/>
          <w:u w:val="single"/>
          <w:lang w:eastAsia="en-AU"/>
        </w:rPr>
        <w:t>2-hr glucose</w:t>
      </w:r>
      <w:r w:rsidRPr="00BA1B7B">
        <w:rPr>
          <w:rFonts w:ascii="Arial" w:eastAsia="Times New Roman" w:hAnsi="Arial" w:cs="Arial"/>
          <w:b/>
          <w:sz w:val="20"/>
          <w:szCs w:val="20"/>
          <w:lang w:eastAsia="en-AU"/>
        </w:rPr>
        <w:t xml:space="preserve"> </w:t>
      </w:r>
      <w:r w:rsidRPr="00BA1B7B">
        <w:rPr>
          <w:rFonts w:ascii="Arial" w:eastAsia="Times New Roman" w:hAnsi="Arial" w:cs="Arial"/>
          <w:bCs/>
          <w:sz w:val="20"/>
          <w:szCs w:val="20"/>
          <w:lang w:eastAsia="en-AU"/>
        </w:rPr>
        <w:t>≥ 8.5 mmol/L</w:t>
      </w:r>
    </w:p>
    <w:p w14:paraId="41493677" w14:textId="77777777" w:rsidR="005F1FD7" w:rsidRPr="00BA1B7B" w:rsidRDefault="005F1FD7" w:rsidP="00823C57">
      <w:pPr>
        <w:spacing w:line="276" w:lineRule="auto"/>
        <w:ind w:left="405"/>
        <w:jc w:val="center"/>
        <w:rPr>
          <w:rFonts w:ascii="Arial" w:eastAsia="Times New Roman" w:hAnsi="Arial" w:cs="Arial"/>
          <w:b/>
          <w:sz w:val="20"/>
          <w:szCs w:val="20"/>
          <w:lang w:eastAsia="en-AU"/>
        </w:rPr>
      </w:pPr>
    </w:p>
    <w:p w14:paraId="073D311E"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**For an extensive breakdown of risk factors for gestational diabetes and the recommended testing schedule and management see section 7 of this guide – Gestational diabetes**</w:t>
      </w:r>
    </w:p>
    <w:bookmarkEnd w:id="56"/>
    <w:p w14:paraId="5191FBED" w14:textId="77777777" w:rsidR="00823C57" w:rsidRPr="00BA1B7B" w:rsidRDefault="00823C57" w:rsidP="00823C57">
      <w:pPr>
        <w:spacing w:line="276" w:lineRule="auto"/>
        <w:rPr>
          <w:rFonts w:ascii="Arial" w:hAnsi="Arial" w:cs="Arial"/>
          <w:b/>
          <w:bCs/>
          <w:sz w:val="20"/>
          <w:szCs w:val="20"/>
        </w:rPr>
      </w:pPr>
    </w:p>
    <w:p w14:paraId="687A9D7E" w14:textId="77777777" w:rsidR="00823C57" w:rsidRPr="00BA1B7B" w:rsidRDefault="00823C57" w:rsidP="00823C57">
      <w:pPr>
        <w:spacing w:line="276" w:lineRule="auto"/>
        <w:rPr>
          <w:rFonts w:ascii="Arial" w:hAnsi="Arial" w:cs="Arial"/>
          <w:sz w:val="20"/>
          <w:szCs w:val="20"/>
        </w:rPr>
      </w:pPr>
      <w:bookmarkStart w:id="57" w:name="_Hlk47103021"/>
      <w:r w:rsidRPr="00BA1B7B">
        <w:rPr>
          <w:rFonts w:ascii="Arial" w:hAnsi="Arial" w:cs="Arial"/>
          <w:b/>
          <w:bCs/>
          <w:sz w:val="20"/>
          <w:szCs w:val="20"/>
        </w:rPr>
        <w:t>Full Blood Examination (FBE)</w:t>
      </w:r>
      <w:r w:rsidRPr="00BA1B7B">
        <w:rPr>
          <w:rFonts w:ascii="Arial" w:hAnsi="Arial" w:cs="Arial"/>
          <w:sz w:val="20"/>
          <w:szCs w:val="20"/>
        </w:rPr>
        <w:t xml:space="preserve"> – </w:t>
      </w:r>
      <w:r w:rsidRPr="00BA1B7B">
        <w:rPr>
          <w:rFonts w:ascii="Arial" w:hAnsi="Arial" w:cs="Arial"/>
          <w:b/>
          <w:bCs/>
          <w:sz w:val="20"/>
          <w:szCs w:val="20"/>
        </w:rPr>
        <w:t>Recommended to be performed between 26-28 weeks</w:t>
      </w:r>
      <w:r w:rsidRPr="00BA1B7B">
        <w:rPr>
          <w:rFonts w:ascii="Arial" w:hAnsi="Arial" w:cs="Arial"/>
          <w:sz w:val="20"/>
          <w:szCs w:val="20"/>
        </w:rPr>
        <w:t xml:space="preserve"> </w:t>
      </w:r>
    </w:p>
    <w:p w14:paraId="42F8E847"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sz w:val="20"/>
          <w:szCs w:val="20"/>
        </w:rPr>
        <w:t>A general screen for anaemia, thrombocytopenia, iron deficiency, recommended to allow identification of significant drops in levels during pregnancy.</w:t>
      </w:r>
      <w:r w:rsidRPr="00BA1B7B">
        <w:rPr>
          <w:rFonts w:ascii="Arial" w:hAnsi="Arial" w:cs="Arial"/>
          <w:i/>
          <w:iCs/>
          <w:sz w:val="20"/>
          <w:szCs w:val="20"/>
        </w:rPr>
        <w:t xml:space="preserve"> </w:t>
      </w:r>
    </w:p>
    <w:p w14:paraId="615EB919" w14:textId="6C2FAC82" w:rsidR="00823C57" w:rsidRPr="00BA1B7B" w:rsidRDefault="00823C57" w:rsidP="00823C57">
      <w:pPr>
        <w:spacing w:line="276" w:lineRule="auto"/>
        <w:rPr>
          <w:rFonts w:ascii="Arial" w:hAnsi="Arial" w:cs="Arial"/>
          <w:b/>
          <w:bCs/>
          <w:sz w:val="20"/>
          <w:szCs w:val="20"/>
        </w:rPr>
      </w:pPr>
    </w:p>
    <w:p w14:paraId="09EFDB30"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Iron Studies</w:t>
      </w:r>
      <w:r w:rsidRPr="00BA1B7B">
        <w:rPr>
          <w:rFonts w:ascii="Arial" w:hAnsi="Arial" w:cs="Arial"/>
          <w:i/>
          <w:iCs/>
          <w:sz w:val="20"/>
          <w:szCs w:val="20"/>
        </w:rPr>
        <w:t xml:space="preserve"> –</w:t>
      </w:r>
      <w:r w:rsidRPr="00BA1B7B">
        <w:rPr>
          <w:rFonts w:ascii="Arial" w:hAnsi="Arial" w:cs="Arial"/>
          <w:b/>
          <w:bCs/>
          <w:sz w:val="20"/>
          <w:szCs w:val="20"/>
        </w:rPr>
        <w:t xml:space="preserve"> Recommended to be performed at initial appointment and between 26-28 weeks, repeated if required at 32-34 weeks</w:t>
      </w:r>
    </w:p>
    <w:p w14:paraId="51B87184" w14:textId="77777777" w:rsidR="00823C57" w:rsidRPr="00BA1B7B" w:rsidRDefault="00823C57" w:rsidP="00823C57">
      <w:pPr>
        <w:spacing w:line="276" w:lineRule="auto"/>
        <w:rPr>
          <w:rFonts w:ascii="Arial" w:hAnsi="Arial" w:cs="Arial"/>
          <w:i/>
          <w:iCs/>
          <w:sz w:val="20"/>
          <w:szCs w:val="20"/>
        </w:rPr>
      </w:pPr>
      <w:r w:rsidRPr="00BA1B7B">
        <w:rPr>
          <w:rFonts w:ascii="Arial" w:hAnsi="Arial" w:cs="Arial"/>
          <w:i/>
          <w:iCs/>
          <w:sz w:val="20"/>
          <w:szCs w:val="20"/>
        </w:rPr>
        <w:t xml:space="preserve"> </w:t>
      </w:r>
      <w:r w:rsidRPr="00BA1B7B">
        <w:rPr>
          <w:rFonts w:ascii="Arial" w:hAnsi="Arial" w:cs="Arial"/>
          <w:sz w:val="20"/>
          <w:szCs w:val="20"/>
        </w:rPr>
        <w:t xml:space="preserve">Iron studies should be performed for all women to determine presence of iron deficiency/anaemia. In pregnancy it is recommended that ferritin levels are maintained greater than 30. It is very common for ferritin levels to drop significantly between early pregnancy and third trimester even with low dose iron </w:t>
      </w:r>
      <w:r w:rsidRPr="00BA1B7B">
        <w:rPr>
          <w:rFonts w:ascii="Arial" w:hAnsi="Arial" w:cs="Arial"/>
          <w:sz w:val="20"/>
          <w:szCs w:val="20"/>
        </w:rPr>
        <w:lastRenderedPageBreak/>
        <w:t>supplementation such as found in most pregnancy multivitamin preparations.  For additional information and recommendations see Section 7.</w:t>
      </w:r>
    </w:p>
    <w:bookmarkEnd w:id="57"/>
    <w:p w14:paraId="2BE7ADD2" w14:textId="77777777" w:rsidR="00823C57" w:rsidRPr="00BA1B7B" w:rsidRDefault="00823C57" w:rsidP="00823C57">
      <w:pPr>
        <w:spacing w:line="276" w:lineRule="auto"/>
        <w:rPr>
          <w:rFonts w:ascii="Arial" w:hAnsi="Arial" w:cs="Arial"/>
          <w:b/>
          <w:bCs/>
          <w:sz w:val="20"/>
          <w:szCs w:val="20"/>
        </w:rPr>
      </w:pPr>
    </w:p>
    <w:p w14:paraId="72041519"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Blood group and Antibody screen - Recommended to be performed between 26-28 weeks</w:t>
      </w:r>
    </w:p>
    <w:p w14:paraId="21AA48AF" w14:textId="77777777" w:rsidR="00823C57" w:rsidRPr="00BA1B7B" w:rsidRDefault="00823C57" w:rsidP="00823C57">
      <w:pPr>
        <w:spacing w:line="276" w:lineRule="auto"/>
        <w:rPr>
          <w:rFonts w:ascii="Arial" w:hAnsi="Arial" w:cs="Arial"/>
          <w:b/>
          <w:bCs/>
          <w:sz w:val="20"/>
          <w:szCs w:val="20"/>
        </w:rPr>
      </w:pPr>
      <w:r w:rsidRPr="00BA1B7B">
        <w:rPr>
          <w:rFonts w:ascii="Arial" w:hAnsi="Arial" w:cs="Arial"/>
          <w:sz w:val="20"/>
          <w:szCs w:val="20"/>
        </w:rPr>
        <w:t xml:space="preserve">Regardless of Rhesus status, it is recommended that every woman should have a repeat antibody screen at 26-28 weeks as antibodies can change over time.  For Rhesus Negative women, a repeat Antibody screen is required at 26-28 weeks gestation, prior to the administration of prophylactic Anti D Immunoglobulin at 28 weeks. For additional information and guidance on Anti D immunoglobulin protocol at Eastern Health see section 7. </w:t>
      </w:r>
    </w:p>
    <w:p w14:paraId="1CB32AEE" w14:textId="77777777" w:rsidR="00823C57" w:rsidRPr="00BA1B7B" w:rsidRDefault="00823C57" w:rsidP="00823C57">
      <w:pPr>
        <w:spacing w:line="276" w:lineRule="auto"/>
        <w:rPr>
          <w:rFonts w:ascii="Arial" w:hAnsi="Arial" w:cs="Arial"/>
          <w:b/>
          <w:bCs/>
          <w:sz w:val="20"/>
          <w:szCs w:val="20"/>
        </w:rPr>
      </w:pPr>
    </w:p>
    <w:p w14:paraId="2082BFA2" w14:textId="77777777" w:rsidR="00823C57" w:rsidRPr="00BA1B7B" w:rsidRDefault="00823C57" w:rsidP="00823C57">
      <w:pPr>
        <w:spacing w:line="276" w:lineRule="auto"/>
        <w:rPr>
          <w:rFonts w:ascii="Arial" w:hAnsi="Arial" w:cs="Arial"/>
          <w:b/>
          <w:bCs/>
          <w:sz w:val="20"/>
          <w:szCs w:val="20"/>
        </w:rPr>
      </w:pPr>
    </w:p>
    <w:p w14:paraId="52FE7527" w14:textId="1387ECC9" w:rsidR="00823C57" w:rsidRPr="00BA1B7B" w:rsidRDefault="00823C57"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58" w:name="_Toc120614298"/>
      <w:r w:rsidRPr="00BA1B7B">
        <w:rPr>
          <w:rFonts w:ascii="Arial" w:eastAsia="Times New Roman" w:hAnsi="Arial" w:cs="Arial"/>
          <w:b/>
          <w:bCs/>
          <w:sz w:val="20"/>
          <w:szCs w:val="20"/>
          <w:lang w:eastAsia="en-AU"/>
        </w:rPr>
        <w:t>5.5 T</w:t>
      </w:r>
      <w:r w:rsidR="007A499C" w:rsidRPr="00BA1B7B">
        <w:rPr>
          <w:rFonts w:ascii="Arial" w:eastAsia="Times New Roman" w:hAnsi="Arial" w:cs="Arial"/>
          <w:b/>
          <w:bCs/>
          <w:sz w:val="20"/>
          <w:szCs w:val="20"/>
          <w:lang w:eastAsia="en-AU"/>
        </w:rPr>
        <w:t>hird Trimester Screening</w:t>
      </w:r>
      <w:bookmarkEnd w:id="58"/>
    </w:p>
    <w:p w14:paraId="0B966110" w14:textId="77777777" w:rsidR="00823C57" w:rsidRPr="00BA1B7B" w:rsidRDefault="00823C57" w:rsidP="00823C57">
      <w:pPr>
        <w:spacing w:line="276" w:lineRule="auto"/>
        <w:rPr>
          <w:rFonts w:ascii="Arial" w:hAnsi="Arial" w:cs="Arial"/>
          <w:sz w:val="20"/>
          <w:szCs w:val="20"/>
        </w:rPr>
      </w:pPr>
      <w:r w:rsidRPr="00BA1B7B">
        <w:rPr>
          <w:rFonts w:ascii="Arial" w:hAnsi="Arial" w:cs="Arial"/>
          <w:b/>
          <w:bCs/>
          <w:sz w:val="20"/>
          <w:szCs w:val="20"/>
        </w:rPr>
        <w:t xml:space="preserve">Repeat Full Blood Examination (FBE) </w:t>
      </w:r>
      <w:r w:rsidRPr="00BA1B7B">
        <w:rPr>
          <w:rFonts w:ascii="Arial" w:hAnsi="Arial" w:cs="Arial"/>
          <w:sz w:val="20"/>
          <w:szCs w:val="20"/>
        </w:rPr>
        <w:t xml:space="preserve">– </w:t>
      </w:r>
      <w:r w:rsidRPr="00BA1B7B">
        <w:rPr>
          <w:rFonts w:ascii="Arial" w:hAnsi="Arial" w:cs="Arial"/>
          <w:b/>
          <w:bCs/>
          <w:sz w:val="20"/>
          <w:szCs w:val="20"/>
        </w:rPr>
        <w:t>To be considered at 32- 34 weeks</w:t>
      </w:r>
    </w:p>
    <w:p w14:paraId="23164EB9"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A general screen if previously diagnosed with iron deficiency and /or anaemia or if presenting with new symptoms</w:t>
      </w:r>
    </w:p>
    <w:p w14:paraId="7EE95354" w14:textId="77777777" w:rsidR="0002578A" w:rsidRPr="00BA1B7B" w:rsidRDefault="0002578A" w:rsidP="00823C57">
      <w:pPr>
        <w:spacing w:line="276" w:lineRule="auto"/>
        <w:rPr>
          <w:rFonts w:ascii="Arial" w:hAnsi="Arial" w:cs="Arial"/>
          <w:b/>
          <w:bCs/>
          <w:sz w:val="20"/>
          <w:szCs w:val="20"/>
        </w:rPr>
      </w:pPr>
    </w:p>
    <w:p w14:paraId="29D6D39E" w14:textId="0FAD1AC9"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Repeat Iron Studies</w:t>
      </w:r>
      <w:r w:rsidRPr="00BA1B7B">
        <w:rPr>
          <w:rFonts w:ascii="Arial" w:hAnsi="Arial" w:cs="Arial"/>
          <w:i/>
          <w:iCs/>
          <w:sz w:val="20"/>
          <w:szCs w:val="20"/>
        </w:rPr>
        <w:t xml:space="preserve"> –</w:t>
      </w:r>
      <w:r w:rsidRPr="00BA1B7B">
        <w:rPr>
          <w:rFonts w:ascii="Arial" w:hAnsi="Arial" w:cs="Arial"/>
          <w:b/>
          <w:bCs/>
          <w:sz w:val="20"/>
          <w:szCs w:val="20"/>
        </w:rPr>
        <w:t xml:space="preserve"> To be considered at 32-34 weeks</w:t>
      </w:r>
    </w:p>
    <w:p w14:paraId="31812805" w14:textId="77777777" w:rsidR="00823C57" w:rsidRPr="00BA1B7B" w:rsidRDefault="00823C57" w:rsidP="00823C57">
      <w:pPr>
        <w:spacing w:line="276" w:lineRule="auto"/>
        <w:rPr>
          <w:rFonts w:ascii="Arial" w:hAnsi="Arial" w:cs="Arial"/>
          <w:i/>
          <w:iCs/>
          <w:sz w:val="20"/>
          <w:szCs w:val="20"/>
        </w:rPr>
      </w:pPr>
      <w:r w:rsidRPr="00BA1B7B">
        <w:rPr>
          <w:rFonts w:ascii="Arial" w:hAnsi="Arial" w:cs="Arial"/>
          <w:sz w:val="20"/>
          <w:szCs w:val="20"/>
        </w:rPr>
        <w:t>Testing should be considered for any woman that is reporting to be symptomatic of low iron (for example: fatigue, dyspnoea, dizziness) or for Women what have previously tested low in this pregnancy and under undergoing supplementation to assess treatment efficacy. In pregnancy it is recommended that ferritin levels are greater than 30. For additional information and recommendations see Section 7.3 p46.</w:t>
      </w:r>
    </w:p>
    <w:p w14:paraId="6F1AE671" w14:textId="77777777" w:rsidR="0002578A" w:rsidRPr="00BA1B7B" w:rsidRDefault="0002578A" w:rsidP="00823C57">
      <w:pPr>
        <w:spacing w:line="276" w:lineRule="auto"/>
        <w:rPr>
          <w:rFonts w:ascii="Arial" w:hAnsi="Arial" w:cs="Arial"/>
          <w:b/>
          <w:bCs/>
          <w:sz w:val="20"/>
          <w:szCs w:val="20"/>
        </w:rPr>
      </w:pPr>
    </w:p>
    <w:p w14:paraId="42E91691" w14:textId="03F1D23B" w:rsidR="00823C57" w:rsidRPr="00BA1B7B" w:rsidRDefault="00823C57" w:rsidP="00823C57">
      <w:pPr>
        <w:spacing w:line="276" w:lineRule="auto"/>
        <w:rPr>
          <w:rFonts w:ascii="Arial" w:hAnsi="Arial" w:cs="Arial"/>
          <w:b/>
          <w:bCs/>
          <w:sz w:val="20"/>
          <w:szCs w:val="20"/>
        </w:rPr>
      </w:pPr>
      <w:r w:rsidRPr="00BA1B7B">
        <w:rPr>
          <w:rFonts w:ascii="Arial" w:hAnsi="Arial" w:cs="Arial"/>
          <w:b/>
          <w:bCs/>
          <w:sz w:val="20"/>
          <w:szCs w:val="20"/>
        </w:rPr>
        <w:t xml:space="preserve">Group B Streptococcus (GBS) Recommended to be performed at 36 weeks </w:t>
      </w:r>
    </w:p>
    <w:p w14:paraId="205BC9F7" w14:textId="39C00E11"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Eastern health recommends that all women are screened for Group B Streptococcus (GBS) at 36 weeks gestation. GBS is present in 30% of the female population. Whilst harmless to the woman, GBS can be transferred to the baby during the birthing process and cause a harmful infection. The recommendation is that all women have a perineal-vaginal swab at 36 weeks. Whilst the bacteria are transient, the result obtained at 36 weeks will determine if antibiotics will be used for labour and birth. Women need to be counselled prior to the GBS test being performed as to the implications of testing</w:t>
      </w:r>
      <w:r w:rsidR="0002578A" w:rsidRPr="00BA1B7B">
        <w:rPr>
          <w:rFonts w:ascii="Arial" w:hAnsi="Arial" w:cs="Arial"/>
          <w:sz w:val="20"/>
          <w:szCs w:val="20"/>
        </w:rPr>
        <w:t xml:space="preserve"> </w:t>
      </w:r>
      <w:r w:rsidRPr="00BA1B7B">
        <w:rPr>
          <w:rFonts w:ascii="Arial" w:hAnsi="Arial" w:cs="Arial"/>
          <w:sz w:val="20"/>
          <w:szCs w:val="20"/>
        </w:rPr>
        <w:t xml:space="preserve">positive in regards to antibiotic treatment in labour and augmentation of labour if spontaneous rupture of membranes occurs. </w:t>
      </w:r>
    </w:p>
    <w:p w14:paraId="7C5FC5DF"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The GBS swab can be performed by the woman following instruction, and given to the health care provider at the 36–37-week appointment.</w:t>
      </w:r>
    </w:p>
    <w:p w14:paraId="0136F540" w14:textId="77777777" w:rsidR="00823C57" w:rsidRPr="00BA1B7B" w:rsidRDefault="00823C57" w:rsidP="00823C57">
      <w:pPr>
        <w:spacing w:line="276" w:lineRule="auto"/>
        <w:rPr>
          <w:rFonts w:ascii="Arial" w:hAnsi="Arial" w:cs="Arial"/>
          <w:sz w:val="20"/>
          <w:szCs w:val="20"/>
        </w:rPr>
      </w:pPr>
    </w:p>
    <w:p w14:paraId="346B47D5" w14:textId="77777777" w:rsidR="00823C57" w:rsidRPr="00BA1B7B" w:rsidRDefault="00823C57" w:rsidP="00823C57">
      <w:pPr>
        <w:spacing w:line="276" w:lineRule="auto"/>
        <w:rPr>
          <w:rFonts w:ascii="Arial" w:hAnsi="Arial" w:cs="Arial"/>
          <w:sz w:val="20"/>
          <w:szCs w:val="20"/>
        </w:rPr>
      </w:pPr>
      <w:r w:rsidRPr="00BA1B7B">
        <w:rPr>
          <w:rFonts w:ascii="Arial" w:hAnsi="Arial" w:cs="Arial"/>
          <w:sz w:val="20"/>
          <w:szCs w:val="20"/>
        </w:rPr>
        <w:t>More details and an information sheet for women can be found here:</w:t>
      </w:r>
    </w:p>
    <w:p w14:paraId="12AF76F9" w14:textId="77777777" w:rsidR="00823C57" w:rsidRPr="00BA1B7B" w:rsidRDefault="00A97F97" w:rsidP="00823C57">
      <w:pPr>
        <w:spacing w:line="276" w:lineRule="auto"/>
        <w:rPr>
          <w:rFonts w:ascii="Arial" w:hAnsi="Arial" w:cs="Arial"/>
          <w:sz w:val="20"/>
          <w:szCs w:val="20"/>
        </w:rPr>
      </w:pPr>
      <w:hyperlink r:id="rId83" w:anchor="goto-downloads" w:history="1">
        <w:r w:rsidR="00823C57" w:rsidRPr="00BA1B7B">
          <w:rPr>
            <w:rFonts w:ascii="Arial" w:hAnsi="Arial" w:cs="Arial"/>
            <w:sz w:val="20"/>
            <w:szCs w:val="20"/>
            <w:u w:val="single"/>
          </w:rPr>
          <w:t>https://www.bettersafercare.vic.gov.au/resources/clinical-guidance/maternity-ehandbook/group-b-streptococcus-gbs-screening-and-management#goto-downloads</w:t>
        </w:r>
      </w:hyperlink>
    </w:p>
    <w:p w14:paraId="324EB0D5" w14:textId="4DA2872F" w:rsidR="00A83453" w:rsidRPr="00BA1B7B" w:rsidRDefault="00A83453" w:rsidP="00823C57">
      <w:pPr>
        <w:spacing w:line="276" w:lineRule="auto"/>
        <w:rPr>
          <w:rFonts w:ascii="Arial" w:hAnsi="Arial" w:cs="Arial"/>
          <w:b/>
          <w:bCs/>
          <w:sz w:val="20"/>
          <w:szCs w:val="20"/>
        </w:rPr>
      </w:pPr>
    </w:p>
    <w:p w14:paraId="0F6A86ED" w14:textId="3A8F9809" w:rsidR="00823C57" w:rsidRPr="00BA1B7B" w:rsidRDefault="007A499C"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59" w:name="_Toc120614299"/>
      <w:r w:rsidRPr="00BA1B7B">
        <w:rPr>
          <w:rFonts w:ascii="Arial" w:eastAsia="Times New Roman" w:hAnsi="Arial" w:cs="Arial"/>
          <w:b/>
          <w:bCs/>
          <w:sz w:val="20"/>
          <w:szCs w:val="20"/>
          <w:lang w:eastAsia="en-AU"/>
        </w:rPr>
        <w:t xml:space="preserve">5.6 Section 5 </w:t>
      </w:r>
      <w:r w:rsidR="00823C57" w:rsidRPr="00BA1B7B">
        <w:rPr>
          <w:rFonts w:ascii="Arial" w:eastAsia="Times New Roman" w:hAnsi="Arial" w:cs="Arial"/>
          <w:b/>
          <w:bCs/>
          <w:sz w:val="20"/>
          <w:szCs w:val="20"/>
          <w:lang w:eastAsia="en-AU"/>
        </w:rPr>
        <w:t>References and resources</w:t>
      </w:r>
      <w:bookmarkEnd w:id="59"/>
    </w:p>
    <w:p w14:paraId="7007F3BB" w14:textId="77777777" w:rsidR="00A83453" w:rsidRPr="00BA1B7B" w:rsidRDefault="00A83453"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ASHA (2018) Australian STI Management Guidelines for Use in Primary Care. Australasian Sexual Health Alliance.</w:t>
      </w:r>
    </w:p>
    <w:p w14:paraId="7C1E4A6F" w14:textId="77777777" w:rsidR="00A83453" w:rsidRPr="00BA1B7B" w:rsidRDefault="00A97F97" w:rsidP="00A83453">
      <w:pPr>
        <w:pStyle w:val="ListParagraph"/>
        <w:spacing w:line="240" w:lineRule="auto"/>
        <w:rPr>
          <w:rFonts w:ascii="Arial" w:hAnsi="Arial" w:cs="Arial"/>
          <w:sz w:val="20"/>
          <w:szCs w:val="20"/>
        </w:rPr>
      </w:pPr>
      <w:hyperlink r:id="rId84" w:history="1">
        <w:r w:rsidR="00A83453" w:rsidRPr="00BA1B7B">
          <w:rPr>
            <w:rStyle w:val="Hyperlink"/>
            <w:rFonts w:ascii="Arial" w:hAnsi="Arial" w:cs="Arial"/>
            <w:color w:val="auto"/>
            <w:sz w:val="20"/>
            <w:szCs w:val="20"/>
          </w:rPr>
          <w:t>http://www.sti.guidelines.org.au/populations-and-situations/pregnant-women</w:t>
        </w:r>
      </w:hyperlink>
    </w:p>
    <w:p w14:paraId="26EECE15" w14:textId="77777777" w:rsidR="00A83453" w:rsidRPr="00BA1B7B" w:rsidRDefault="00A83453" w:rsidP="00A83453">
      <w:pPr>
        <w:pStyle w:val="ListParagraph"/>
        <w:spacing w:line="240" w:lineRule="auto"/>
        <w:rPr>
          <w:rFonts w:ascii="Arial" w:hAnsi="Arial" w:cs="Arial"/>
          <w:sz w:val="20"/>
          <w:szCs w:val="20"/>
        </w:rPr>
      </w:pPr>
    </w:p>
    <w:p w14:paraId="04C6FDDB" w14:textId="1E6F17BF"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Department of Health (2020) Clinical Practice Guidelines: Pregnancy Care. Canberra: Australian Government Department of Health.</w:t>
      </w:r>
    </w:p>
    <w:p w14:paraId="6105602C" w14:textId="77777777" w:rsidR="00823C57" w:rsidRPr="00BA1B7B" w:rsidRDefault="00A97F97" w:rsidP="00823C57">
      <w:pPr>
        <w:pStyle w:val="ListParagraph"/>
        <w:spacing w:line="240" w:lineRule="auto"/>
        <w:rPr>
          <w:rFonts w:ascii="Arial" w:hAnsi="Arial" w:cs="Arial"/>
          <w:sz w:val="20"/>
          <w:szCs w:val="20"/>
        </w:rPr>
      </w:pPr>
      <w:hyperlink r:id="rId85" w:history="1">
        <w:r w:rsidR="00823C57" w:rsidRPr="00BA1B7B">
          <w:rPr>
            <w:rStyle w:val="Hyperlink"/>
            <w:rFonts w:ascii="Arial" w:hAnsi="Arial" w:cs="Arial"/>
            <w:color w:val="auto"/>
            <w:sz w:val="20"/>
            <w:szCs w:val="20"/>
          </w:rPr>
          <w:t>https://www.health.gov.au/resources/pregnancy-care-guidelines/part-d-clinical-assessments/gestational-age</w:t>
        </w:r>
      </w:hyperlink>
      <w:r w:rsidR="00823C57" w:rsidRPr="00BA1B7B">
        <w:rPr>
          <w:rFonts w:ascii="Arial" w:hAnsi="Arial" w:cs="Arial"/>
          <w:sz w:val="20"/>
          <w:szCs w:val="20"/>
        </w:rPr>
        <w:t xml:space="preserve"> </w:t>
      </w:r>
    </w:p>
    <w:p w14:paraId="264758DE" w14:textId="77777777" w:rsidR="00823C57" w:rsidRPr="00BA1B7B" w:rsidRDefault="00823C57" w:rsidP="00823C57">
      <w:pPr>
        <w:rPr>
          <w:rFonts w:ascii="Arial" w:hAnsi="Arial" w:cs="Arial"/>
          <w:sz w:val="20"/>
          <w:szCs w:val="20"/>
        </w:rPr>
      </w:pPr>
    </w:p>
    <w:p w14:paraId="1A29112C" w14:textId="77777777"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Department of Health (2020) Pregnancy Birth and Baby. Canberra: Australian Government Department of Health.</w:t>
      </w:r>
    </w:p>
    <w:p w14:paraId="444B7F90" w14:textId="339843DF" w:rsidR="00823C57" w:rsidRPr="00BA1B7B" w:rsidRDefault="00A97F97" w:rsidP="00A83453">
      <w:pPr>
        <w:pStyle w:val="ListParagraph"/>
        <w:spacing w:line="240" w:lineRule="auto"/>
        <w:rPr>
          <w:rFonts w:ascii="Arial" w:hAnsi="Arial" w:cs="Arial"/>
          <w:sz w:val="20"/>
          <w:szCs w:val="20"/>
        </w:rPr>
      </w:pPr>
      <w:hyperlink r:id="rId86" w:history="1">
        <w:r w:rsidR="00823C57" w:rsidRPr="00BA1B7B">
          <w:rPr>
            <w:rStyle w:val="Hyperlink"/>
            <w:rFonts w:ascii="Arial" w:hAnsi="Arial" w:cs="Arial"/>
            <w:color w:val="auto"/>
            <w:sz w:val="20"/>
            <w:szCs w:val="20"/>
          </w:rPr>
          <w:t>https://www.pregnancybirthbaby.org.au/due-date-calculator</w:t>
        </w:r>
      </w:hyperlink>
      <w:bookmarkStart w:id="60" w:name="_Hlk48206281"/>
    </w:p>
    <w:p w14:paraId="14FE222A" w14:textId="77777777" w:rsidR="00823C57" w:rsidRPr="00BA1B7B" w:rsidRDefault="00823C57" w:rsidP="00823C57">
      <w:pPr>
        <w:rPr>
          <w:rFonts w:ascii="Arial" w:hAnsi="Arial" w:cs="Arial"/>
          <w:sz w:val="20"/>
          <w:szCs w:val="20"/>
        </w:rPr>
      </w:pPr>
    </w:p>
    <w:p w14:paraId="74715309" w14:textId="77777777"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 xml:space="preserve">Cancer Council Australia (2019) National Cervical Screening Program: Guidelines for the management of screen-detected abnormalities, screening in specific populations and investigation of abnormal vaginal bleeding. Sydney: Cancer Council Australia. </w:t>
      </w:r>
      <w:hyperlink r:id="rId87" w:history="1">
        <w:r w:rsidRPr="00BA1B7B">
          <w:rPr>
            <w:rStyle w:val="Hyperlink"/>
            <w:rFonts w:ascii="Arial" w:hAnsi="Arial" w:cs="Arial"/>
            <w:color w:val="auto"/>
            <w:sz w:val="20"/>
            <w:szCs w:val="20"/>
          </w:rPr>
          <w:t>https://wiki.cancer.org.au/australia/Clinical_question:Screening_in_pregnancy</w:t>
        </w:r>
      </w:hyperlink>
    </w:p>
    <w:p w14:paraId="3A8B7FCC" w14:textId="77777777" w:rsidR="00823C57" w:rsidRPr="00BA1B7B" w:rsidRDefault="00823C57" w:rsidP="00823C57">
      <w:pPr>
        <w:rPr>
          <w:rFonts w:ascii="Arial" w:hAnsi="Arial" w:cs="Arial"/>
          <w:sz w:val="20"/>
          <w:szCs w:val="20"/>
        </w:rPr>
      </w:pPr>
    </w:p>
    <w:p w14:paraId="14B294F2" w14:textId="77777777"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Department of Health (2020) Clinical Practice Guidelines: Pregnancy Care. Canberra: Australian Government Department of Health.</w:t>
      </w:r>
    </w:p>
    <w:bookmarkEnd w:id="60"/>
    <w:p w14:paraId="2208C79B" w14:textId="77777777" w:rsidR="00823C57" w:rsidRPr="00BA1B7B" w:rsidRDefault="00823C57" w:rsidP="00823C57">
      <w:pPr>
        <w:pStyle w:val="ListParagraph"/>
        <w:spacing w:line="240" w:lineRule="auto"/>
        <w:rPr>
          <w:rFonts w:ascii="Arial" w:hAnsi="Arial" w:cs="Arial"/>
          <w:sz w:val="20"/>
          <w:szCs w:val="20"/>
        </w:rPr>
      </w:pPr>
      <w:r w:rsidRPr="00BA1B7B">
        <w:rPr>
          <w:rFonts w:ascii="Arial" w:hAnsi="Arial" w:cs="Arial"/>
          <w:sz w:val="20"/>
          <w:szCs w:val="20"/>
        </w:rPr>
        <w:fldChar w:fldCharType="begin"/>
      </w:r>
      <w:r w:rsidRPr="00BA1B7B">
        <w:rPr>
          <w:rFonts w:ascii="Arial" w:hAnsi="Arial" w:cs="Arial"/>
          <w:sz w:val="20"/>
          <w:szCs w:val="20"/>
        </w:rPr>
        <w:instrText xml:space="preserve"> HYPERLINK "https://www.health.gov.au/resources/pregnancy-care-guidelines/part-d-clinical-assessments/gestational-age" </w:instrText>
      </w:r>
      <w:r w:rsidRPr="00BA1B7B">
        <w:rPr>
          <w:rFonts w:ascii="Arial" w:hAnsi="Arial" w:cs="Arial"/>
          <w:sz w:val="20"/>
          <w:szCs w:val="20"/>
        </w:rPr>
        <w:fldChar w:fldCharType="separate"/>
      </w:r>
      <w:r w:rsidRPr="00BA1B7B">
        <w:rPr>
          <w:rStyle w:val="Hyperlink"/>
          <w:rFonts w:ascii="Arial" w:hAnsi="Arial" w:cs="Arial"/>
          <w:color w:val="auto"/>
          <w:sz w:val="20"/>
          <w:szCs w:val="20"/>
        </w:rPr>
        <w:t>https://www.health.gov.au/resources/pregnancy-care-guidelines/part-d-clinical-assessments/gestational-age</w:t>
      </w:r>
      <w:r w:rsidRPr="00BA1B7B">
        <w:rPr>
          <w:rFonts w:ascii="Arial" w:hAnsi="Arial" w:cs="Arial"/>
          <w:sz w:val="20"/>
          <w:szCs w:val="20"/>
        </w:rPr>
        <w:fldChar w:fldCharType="end"/>
      </w:r>
    </w:p>
    <w:p w14:paraId="45DE47EB" w14:textId="77777777" w:rsidR="00823C57" w:rsidRPr="00BA1B7B" w:rsidRDefault="00823C57" w:rsidP="00823C57">
      <w:pPr>
        <w:rPr>
          <w:rFonts w:ascii="Arial" w:hAnsi="Arial" w:cs="Arial"/>
          <w:sz w:val="20"/>
          <w:szCs w:val="20"/>
        </w:rPr>
      </w:pPr>
    </w:p>
    <w:p w14:paraId="7B79EE90" w14:textId="77777777"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Department of Health (2020) Clinical Practice Guidelines: Pregnancy Care. Canberra: Australian Government Department of Health:</w:t>
      </w:r>
      <w:hyperlink r:id="rId88" w:history="1">
        <w:r w:rsidRPr="00BA1B7B">
          <w:rPr>
            <w:rStyle w:val="Hyperlink"/>
            <w:rFonts w:ascii="Arial" w:hAnsi="Arial" w:cs="Arial"/>
            <w:color w:val="auto"/>
            <w:sz w:val="20"/>
            <w:szCs w:val="20"/>
          </w:rPr>
          <w:t>https://www.health.gov.au/resources/pregnancy-care-guidelines/part-f-routine-maternal-health-tests</w:t>
        </w:r>
      </w:hyperlink>
    </w:p>
    <w:p w14:paraId="0FC2159C" w14:textId="77777777" w:rsidR="00823C57" w:rsidRPr="00BA1B7B" w:rsidRDefault="00823C57" w:rsidP="00823C57">
      <w:pPr>
        <w:rPr>
          <w:rFonts w:ascii="Arial" w:hAnsi="Arial" w:cs="Arial"/>
          <w:sz w:val="20"/>
          <w:szCs w:val="20"/>
        </w:rPr>
      </w:pPr>
    </w:p>
    <w:p w14:paraId="23C3A890" w14:textId="77777777"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 xml:space="preserve">Department of Health (2020) Clinical Practice Guidelines: Pregnancy Care. Canberra: Australian Government Department of Health. </w:t>
      </w:r>
      <w:hyperlink r:id="rId89" w:history="1">
        <w:r w:rsidRPr="00BA1B7B">
          <w:rPr>
            <w:rStyle w:val="Hyperlink"/>
            <w:rFonts w:ascii="Arial" w:hAnsi="Arial" w:cs="Arial"/>
            <w:color w:val="auto"/>
            <w:sz w:val="20"/>
            <w:szCs w:val="20"/>
          </w:rPr>
          <w:t>https://www.health.gov.au/resources/pregnancy-care-guidelines/part-g-targeted-maternal-health-tests</w:t>
        </w:r>
      </w:hyperlink>
    </w:p>
    <w:p w14:paraId="24265A35" w14:textId="77777777" w:rsidR="00823C57" w:rsidRPr="00BA1B7B" w:rsidRDefault="00823C57" w:rsidP="00823C57">
      <w:pPr>
        <w:rPr>
          <w:rFonts w:ascii="Arial" w:hAnsi="Arial" w:cs="Arial"/>
          <w:sz w:val="20"/>
          <w:szCs w:val="20"/>
        </w:rPr>
      </w:pPr>
    </w:p>
    <w:p w14:paraId="4C3E7F28" w14:textId="584FFE7B" w:rsidR="00823C57" w:rsidRPr="00BA1B7B" w:rsidRDefault="00823C57" w:rsidP="004A22FD">
      <w:pPr>
        <w:pStyle w:val="ListParagraph"/>
        <w:numPr>
          <w:ilvl w:val="0"/>
          <w:numId w:val="21"/>
        </w:numPr>
        <w:spacing w:line="240" w:lineRule="auto"/>
        <w:rPr>
          <w:rStyle w:val="Hyperlink"/>
          <w:rFonts w:ascii="Arial" w:hAnsi="Arial" w:cs="Arial"/>
          <w:color w:val="auto"/>
          <w:sz w:val="20"/>
          <w:szCs w:val="20"/>
          <w:u w:val="none"/>
        </w:rPr>
      </w:pPr>
      <w:r w:rsidRPr="00BA1B7B">
        <w:rPr>
          <w:rFonts w:ascii="Arial" w:hAnsi="Arial" w:cs="Arial"/>
          <w:sz w:val="20"/>
          <w:szCs w:val="20"/>
        </w:rPr>
        <w:t xml:space="preserve">Department of Health and Human Services (2020) Congenital Syphilis in Victoria. Melbourne: State Government of Victoria. </w:t>
      </w:r>
      <w:hyperlink r:id="rId90" w:history="1">
        <w:r w:rsidRPr="00BA1B7B">
          <w:rPr>
            <w:rStyle w:val="Hyperlink"/>
            <w:rFonts w:ascii="Arial" w:hAnsi="Arial" w:cs="Arial"/>
            <w:color w:val="auto"/>
            <w:sz w:val="20"/>
            <w:szCs w:val="20"/>
          </w:rPr>
          <w:t>https://www2.health.vic.gov.au/about/news-and-events/healthalerts/congenital-syphilis</w:t>
        </w:r>
      </w:hyperlink>
    </w:p>
    <w:p w14:paraId="0696DE99" w14:textId="77777777" w:rsidR="00A83453" w:rsidRPr="00BA1B7B" w:rsidRDefault="00A83453" w:rsidP="00A83453">
      <w:pPr>
        <w:pStyle w:val="ListParagraph"/>
        <w:rPr>
          <w:rStyle w:val="Hyperlink"/>
          <w:rFonts w:ascii="Arial" w:hAnsi="Arial" w:cs="Arial"/>
          <w:color w:val="auto"/>
          <w:sz w:val="20"/>
          <w:szCs w:val="20"/>
          <w:u w:val="none"/>
        </w:rPr>
      </w:pPr>
    </w:p>
    <w:p w14:paraId="093D93BE" w14:textId="7E586C7D" w:rsidR="00A83453" w:rsidRPr="00BA1B7B" w:rsidRDefault="00A83453" w:rsidP="004A22FD">
      <w:pPr>
        <w:pStyle w:val="ListParagraph"/>
        <w:numPr>
          <w:ilvl w:val="0"/>
          <w:numId w:val="21"/>
        </w:numPr>
        <w:spacing w:line="240" w:lineRule="auto"/>
        <w:rPr>
          <w:rStyle w:val="Hyperlink"/>
          <w:rFonts w:ascii="Arial" w:hAnsi="Arial" w:cs="Arial"/>
          <w:color w:val="auto"/>
          <w:sz w:val="20"/>
          <w:szCs w:val="20"/>
          <w:u w:val="none"/>
        </w:rPr>
      </w:pPr>
      <w:r w:rsidRPr="00BA1B7B">
        <w:rPr>
          <w:rFonts w:ascii="Arial" w:hAnsi="Arial" w:cs="Arial"/>
          <w:sz w:val="20"/>
          <w:szCs w:val="20"/>
        </w:rPr>
        <w:t xml:space="preserve">Department of Health (2020) Clinical Practice Guidelines: Pregnancy Care. Canberra: Australian Government Department of Health. </w:t>
      </w:r>
      <w:hyperlink r:id="rId91" w:history="1">
        <w:r w:rsidRPr="00BA1B7B">
          <w:rPr>
            <w:rStyle w:val="Hyperlink"/>
            <w:rFonts w:ascii="Arial" w:hAnsi="Arial" w:cs="Arial"/>
            <w:color w:val="auto"/>
            <w:sz w:val="20"/>
            <w:szCs w:val="20"/>
          </w:rPr>
          <w:t>https://www.health.gov.au/resources/pregnancy-care-guidelines/part-h-fetal-chromosomal-anomalies</w:t>
        </w:r>
      </w:hyperlink>
    </w:p>
    <w:p w14:paraId="37153C22" w14:textId="77777777" w:rsidR="00A83453" w:rsidRPr="00BA1B7B" w:rsidRDefault="00A83453" w:rsidP="00A83453">
      <w:pPr>
        <w:pStyle w:val="ListParagraph"/>
        <w:rPr>
          <w:rFonts w:ascii="Arial" w:hAnsi="Arial" w:cs="Arial"/>
          <w:sz w:val="20"/>
          <w:szCs w:val="20"/>
        </w:rPr>
      </w:pPr>
    </w:p>
    <w:p w14:paraId="6EA5F06E" w14:textId="77777777" w:rsidR="00A83453" w:rsidRPr="00BA1B7B" w:rsidRDefault="00A83453"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Department of Health (2020) Clinical Practice Guidelines: Pregnancy Care. Canberra: Australian Government Department of Health.</w:t>
      </w:r>
    </w:p>
    <w:p w14:paraId="6F059229" w14:textId="77777777" w:rsidR="00A83453" w:rsidRPr="00BA1B7B" w:rsidRDefault="00A97F97" w:rsidP="00A83453">
      <w:pPr>
        <w:pStyle w:val="ListParagraph"/>
        <w:spacing w:line="240" w:lineRule="auto"/>
        <w:rPr>
          <w:rFonts w:ascii="Arial" w:hAnsi="Arial" w:cs="Arial"/>
          <w:sz w:val="20"/>
          <w:szCs w:val="20"/>
        </w:rPr>
      </w:pPr>
      <w:hyperlink r:id="rId92" w:history="1">
        <w:r w:rsidR="00A83453" w:rsidRPr="00BA1B7B">
          <w:rPr>
            <w:rStyle w:val="Hyperlink"/>
            <w:rFonts w:ascii="Arial" w:hAnsi="Arial" w:cs="Arial"/>
            <w:color w:val="auto"/>
            <w:sz w:val="20"/>
            <w:szCs w:val="20"/>
          </w:rPr>
          <w:t>https://www.health.gov.au/resources/pregnancy-care-guidelines/part-d-clinical-assessments/fetal-development-and-anatomy</w:t>
        </w:r>
      </w:hyperlink>
    </w:p>
    <w:p w14:paraId="43C525CE" w14:textId="77777777" w:rsidR="00A83453" w:rsidRPr="00BA1B7B" w:rsidRDefault="00A83453" w:rsidP="00A83453">
      <w:pPr>
        <w:rPr>
          <w:rFonts w:ascii="Arial" w:hAnsi="Arial" w:cs="Arial"/>
          <w:sz w:val="20"/>
          <w:szCs w:val="20"/>
        </w:rPr>
      </w:pPr>
    </w:p>
    <w:p w14:paraId="7D4833DD" w14:textId="77777777" w:rsidR="00A83453" w:rsidRPr="00BA1B7B" w:rsidRDefault="00A83453"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Department of Health (2020) Clinical Practice Guidelines: Pregnancy Care. Canberra: Australian Government Department of Health.</w:t>
      </w:r>
    </w:p>
    <w:p w14:paraId="05377955" w14:textId="1547C1D9" w:rsidR="00A83453" w:rsidRPr="00BA1B7B" w:rsidRDefault="00A97F97" w:rsidP="00A83453">
      <w:pPr>
        <w:pStyle w:val="ListParagraph"/>
        <w:spacing w:line="240" w:lineRule="auto"/>
        <w:rPr>
          <w:rFonts w:ascii="Arial" w:hAnsi="Arial" w:cs="Arial"/>
          <w:sz w:val="20"/>
          <w:szCs w:val="20"/>
        </w:rPr>
      </w:pPr>
      <w:hyperlink r:id="rId93" w:history="1">
        <w:r w:rsidR="00A83453" w:rsidRPr="00BA1B7B">
          <w:rPr>
            <w:rStyle w:val="Hyperlink"/>
            <w:rFonts w:ascii="Arial" w:hAnsi="Arial" w:cs="Arial"/>
            <w:color w:val="auto"/>
            <w:sz w:val="20"/>
            <w:szCs w:val="20"/>
          </w:rPr>
          <w:t>https://www.health.gov.au/resources/pregnancy-care-guidelines/part-f-routine-maternal-health-tests</w:t>
        </w:r>
      </w:hyperlink>
    </w:p>
    <w:p w14:paraId="14A10843" w14:textId="77777777" w:rsidR="00823C57" w:rsidRPr="00BA1B7B" w:rsidRDefault="00823C57" w:rsidP="00823C57">
      <w:pPr>
        <w:rPr>
          <w:rFonts w:ascii="Arial" w:hAnsi="Arial" w:cs="Arial"/>
          <w:sz w:val="20"/>
          <w:szCs w:val="20"/>
        </w:rPr>
      </w:pPr>
    </w:p>
    <w:p w14:paraId="00C6A6F2" w14:textId="77777777"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EH Policy 2217 – Amniocentesis Guideline (2020)</w:t>
      </w:r>
    </w:p>
    <w:p w14:paraId="5FFF32A8" w14:textId="77777777" w:rsidR="00823C57" w:rsidRPr="00BA1B7B" w:rsidRDefault="00823C57" w:rsidP="00823C57">
      <w:pPr>
        <w:pStyle w:val="ListParagraph"/>
        <w:spacing w:line="240" w:lineRule="auto"/>
        <w:rPr>
          <w:rFonts w:ascii="Arial" w:hAnsi="Arial" w:cs="Arial"/>
          <w:sz w:val="20"/>
          <w:szCs w:val="20"/>
        </w:rPr>
      </w:pPr>
    </w:p>
    <w:p w14:paraId="5C473F55" w14:textId="3A1B59B2"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EH Policy 2218 – Chorionic Villus Sampling (CVS) Practice Guideline (2020)</w:t>
      </w:r>
    </w:p>
    <w:p w14:paraId="23E7FB55" w14:textId="77777777" w:rsidR="00A83453" w:rsidRPr="00BA1B7B" w:rsidRDefault="00A83453" w:rsidP="00A83453">
      <w:pPr>
        <w:pStyle w:val="ListParagraph"/>
        <w:rPr>
          <w:rFonts w:ascii="Arial" w:hAnsi="Arial" w:cs="Arial"/>
          <w:sz w:val="20"/>
          <w:szCs w:val="20"/>
        </w:rPr>
      </w:pPr>
    </w:p>
    <w:p w14:paraId="20A50D1A" w14:textId="77777777" w:rsidR="00A83453" w:rsidRPr="00BA1B7B" w:rsidRDefault="00A83453"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EH Policy 3391 – Iron deficiency and Anaemia in Pregnancy Guideline (2019)</w:t>
      </w:r>
    </w:p>
    <w:p w14:paraId="76F46540" w14:textId="77777777" w:rsidR="00A83453" w:rsidRPr="00BA1B7B" w:rsidRDefault="00A83453" w:rsidP="00A83453">
      <w:pPr>
        <w:pStyle w:val="ListParagraph"/>
        <w:spacing w:line="240" w:lineRule="auto"/>
        <w:rPr>
          <w:rFonts w:ascii="Arial" w:hAnsi="Arial" w:cs="Arial"/>
          <w:sz w:val="20"/>
          <w:szCs w:val="20"/>
        </w:rPr>
      </w:pPr>
    </w:p>
    <w:p w14:paraId="44E27868" w14:textId="60BACD34" w:rsidR="00A83453" w:rsidRPr="00BA1B7B" w:rsidRDefault="00A83453"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EH Policy 1020 – Diagnosis and Management of Gestational Diabetes Mellitus (2020)</w:t>
      </w:r>
    </w:p>
    <w:p w14:paraId="795F2C0A" w14:textId="2C3A74F5" w:rsidR="00A83453" w:rsidRPr="00BA1B7B" w:rsidRDefault="00A83453" w:rsidP="00A83453">
      <w:pPr>
        <w:rPr>
          <w:rFonts w:ascii="Arial" w:hAnsi="Arial" w:cs="Arial"/>
          <w:sz w:val="20"/>
          <w:szCs w:val="20"/>
        </w:rPr>
      </w:pPr>
    </w:p>
    <w:p w14:paraId="34557F30" w14:textId="2B89E728" w:rsidR="00823C57" w:rsidRPr="00BA1B7B" w:rsidRDefault="00A83453"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EH Policy 2398 - Maternal Group B Streptococcus in Pregnancy: Screening and Management Guideline (2019)</w:t>
      </w:r>
    </w:p>
    <w:p w14:paraId="622A285C" w14:textId="77777777" w:rsidR="00823C57" w:rsidRPr="00BA1B7B" w:rsidRDefault="00823C57" w:rsidP="00823C57">
      <w:pPr>
        <w:rPr>
          <w:rFonts w:ascii="Arial" w:hAnsi="Arial" w:cs="Arial"/>
          <w:b/>
          <w:bCs/>
          <w:sz w:val="20"/>
          <w:szCs w:val="20"/>
        </w:rPr>
      </w:pPr>
    </w:p>
    <w:p w14:paraId="065B3B00" w14:textId="1ECF3024" w:rsidR="00823C57" w:rsidRPr="00BA1B7B" w:rsidRDefault="00823C57" w:rsidP="004A22FD">
      <w:pPr>
        <w:pStyle w:val="ListParagraph"/>
        <w:numPr>
          <w:ilvl w:val="0"/>
          <w:numId w:val="21"/>
        </w:numPr>
        <w:spacing w:line="240" w:lineRule="auto"/>
        <w:rPr>
          <w:rStyle w:val="Hyperlink"/>
          <w:rFonts w:ascii="Arial" w:hAnsi="Arial" w:cs="Arial"/>
          <w:color w:val="auto"/>
          <w:sz w:val="20"/>
          <w:szCs w:val="20"/>
          <w:u w:val="none"/>
        </w:rPr>
      </w:pPr>
      <w:r w:rsidRPr="00BA1B7B">
        <w:rPr>
          <w:rFonts w:ascii="Arial" w:hAnsi="Arial" w:cs="Arial"/>
          <w:sz w:val="20"/>
          <w:szCs w:val="20"/>
        </w:rPr>
        <w:t xml:space="preserve">Royal Australian and New Zealand College of Obstetricians and Gynecologists (2016) Prenatal screening and diagnostic testing for fetal chromosomal and genetic conditions </w:t>
      </w:r>
      <w:hyperlink r:id="rId94" w:history="1">
        <w:r w:rsidRPr="00BA1B7B">
          <w:rPr>
            <w:rStyle w:val="Hyperlink"/>
            <w:rFonts w:ascii="Arial" w:hAnsi="Arial" w:cs="Arial"/>
            <w:color w:val="auto"/>
            <w:sz w:val="20"/>
            <w:szCs w:val="20"/>
          </w:rPr>
          <w:t>https://ranzcog.edu.au/RANZCOG_SITE/media/RANZCOGMEDIA/Women%27s%20Health/Statement%20and%20guidelines/Clinical-Obstetrics/Prenatal-screening_1.pdf?ext=.pdf</w:t>
        </w:r>
      </w:hyperlink>
    </w:p>
    <w:p w14:paraId="1969C9DA" w14:textId="77777777" w:rsidR="00A83453" w:rsidRPr="00BA1B7B" w:rsidRDefault="00A83453" w:rsidP="00A83453">
      <w:pPr>
        <w:pStyle w:val="ListParagraph"/>
        <w:rPr>
          <w:rFonts w:ascii="Arial" w:hAnsi="Arial" w:cs="Arial"/>
          <w:sz w:val="20"/>
          <w:szCs w:val="20"/>
        </w:rPr>
      </w:pPr>
    </w:p>
    <w:p w14:paraId="30943691" w14:textId="0F131E6B" w:rsidR="00823C57" w:rsidRPr="00BA1B7B" w:rsidRDefault="00A83453"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 xml:space="preserve">The Royal Australian and New Zealand College of Obstetricians and Gynaecologists (2019) Routine antenatal assessment in the absence of pregnancy complications. - </w:t>
      </w:r>
      <w:hyperlink r:id="rId95" w:history="1">
        <w:r w:rsidRPr="00BA1B7B">
          <w:rPr>
            <w:rStyle w:val="Hyperlink"/>
            <w:rFonts w:ascii="Arial" w:hAnsi="Arial" w:cs="Arial"/>
            <w:color w:val="auto"/>
            <w:sz w:val="20"/>
            <w:szCs w:val="20"/>
          </w:rPr>
          <w:t>https://ranzcog.edu.au/RANZCOG_SITE/media/RANZCOG-MEDIA/Women%27s%20Health/Statement%20and%20guidelines/Clinical-Obstetrics/Routine-antenatal-assessment-in-the-absence-of-pregnancy-complications-(C-Obs-3b)_2.pdf?ext=.pdf</w:t>
        </w:r>
      </w:hyperlink>
    </w:p>
    <w:p w14:paraId="656ACB3D" w14:textId="564F4627" w:rsidR="00823C57" w:rsidRPr="00BA1B7B" w:rsidRDefault="00823C57" w:rsidP="00823C57">
      <w:pPr>
        <w:rPr>
          <w:rFonts w:ascii="Arial" w:hAnsi="Arial" w:cs="Arial"/>
          <w:sz w:val="20"/>
          <w:szCs w:val="20"/>
        </w:rPr>
      </w:pPr>
    </w:p>
    <w:p w14:paraId="4D03CBC2" w14:textId="77777777"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The Royal Australian and New Zealand College of Obstetricians and Gynaecologists (2019) Routine antenatal assessment in the absence of pregnancy complications.</w:t>
      </w:r>
    </w:p>
    <w:p w14:paraId="25ACC132" w14:textId="77777777" w:rsidR="00823C57" w:rsidRPr="00BA1B7B" w:rsidRDefault="00A97F97" w:rsidP="00823C57">
      <w:pPr>
        <w:pStyle w:val="ListParagraph"/>
        <w:spacing w:line="240" w:lineRule="auto"/>
        <w:rPr>
          <w:rFonts w:ascii="Arial" w:hAnsi="Arial" w:cs="Arial"/>
          <w:sz w:val="20"/>
          <w:szCs w:val="20"/>
        </w:rPr>
      </w:pPr>
      <w:hyperlink r:id="rId96" w:history="1">
        <w:r w:rsidR="00823C57" w:rsidRPr="00BA1B7B">
          <w:rPr>
            <w:rStyle w:val="Hyperlink"/>
            <w:rFonts w:ascii="Arial" w:hAnsi="Arial" w:cs="Arial"/>
            <w:color w:val="auto"/>
            <w:sz w:val="20"/>
            <w:szCs w:val="20"/>
          </w:rPr>
          <w:t>https://ranzcog.edu.au/RANZCOG_SITE/media/RANZCOGMEDIA/Women%27s%20Health/Statement%20and%20guidelines/Clinical-Obstetrics/Routine-antenatal-assessment-in-the-absence-of-pregnancy-complications-(C-Obs-3b)_2.pdf?ext=.pdf</w:t>
        </w:r>
      </w:hyperlink>
    </w:p>
    <w:p w14:paraId="3B325777" w14:textId="77777777" w:rsidR="00823C57" w:rsidRPr="00BA1B7B" w:rsidRDefault="00823C57" w:rsidP="00823C57">
      <w:pPr>
        <w:pStyle w:val="ListParagraph"/>
        <w:spacing w:line="240" w:lineRule="auto"/>
        <w:rPr>
          <w:rFonts w:ascii="Arial" w:hAnsi="Arial" w:cs="Arial"/>
          <w:sz w:val="20"/>
          <w:szCs w:val="20"/>
        </w:rPr>
      </w:pPr>
    </w:p>
    <w:p w14:paraId="15524A72" w14:textId="77777777" w:rsidR="00823C57" w:rsidRPr="00BA1B7B" w:rsidRDefault="00823C57"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t>Department of Health (2020k) Clinical Practice Guidelines: Pregnancy Care. Canberra: Australian Government Department of Health.</w:t>
      </w:r>
    </w:p>
    <w:p w14:paraId="10FEC591" w14:textId="77777777" w:rsidR="00823C57" w:rsidRPr="00BA1B7B" w:rsidRDefault="00A97F97" w:rsidP="00823C57">
      <w:pPr>
        <w:pStyle w:val="ListParagraph"/>
        <w:spacing w:line="240" w:lineRule="auto"/>
        <w:rPr>
          <w:rFonts w:ascii="Arial" w:hAnsi="Arial" w:cs="Arial"/>
          <w:sz w:val="20"/>
          <w:szCs w:val="20"/>
        </w:rPr>
      </w:pPr>
      <w:hyperlink r:id="rId97" w:history="1">
        <w:r w:rsidR="00823C57" w:rsidRPr="00BA1B7B">
          <w:rPr>
            <w:rStyle w:val="Hyperlink"/>
            <w:rFonts w:ascii="Arial" w:hAnsi="Arial" w:cs="Arial"/>
            <w:color w:val="auto"/>
            <w:sz w:val="20"/>
            <w:szCs w:val="20"/>
          </w:rPr>
          <w:t>https://www.health.gov.au/resources/pregnancy-care-guidelines/part-f-routine-maternal-health-tests</w:t>
        </w:r>
      </w:hyperlink>
    </w:p>
    <w:p w14:paraId="18EE1076" w14:textId="77777777" w:rsidR="00823C57" w:rsidRPr="00BA1B7B" w:rsidRDefault="00823C57" w:rsidP="00823C57">
      <w:pPr>
        <w:rPr>
          <w:rFonts w:ascii="Arial" w:hAnsi="Arial" w:cs="Arial"/>
          <w:sz w:val="20"/>
          <w:szCs w:val="20"/>
        </w:rPr>
      </w:pPr>
    </w:p>
    <w:p w14:paraId="7FFA4EF6" w14:textId="77777777" w:rsidR="00823C57" w:rsidRPr="00BA1B7B" w:rsidRDefault="00823C57" w:rsidP="004A22FD">
      <w:pPr>
        <w:pStyle w:val="ListParagraph"/>
        <w:numPr>
          <w:ilvl w:val="0"/>
          <w:numId w:val="21"/>
        </w:numPr>
        <w:spacing w:line="240" w:lineRule="auto"/>
        <w:rPr>
          <w:rStyle w:val="Hyperlink"/>
          <w:rFonts w:ascii="Arial" w:hAnsi="Arial" w:cs="Arial"/>
          <w:color w:val="auto"/>
          <w:sz w:val="20"/>
          <w:szCs w:val="20"/>
        </w:rPr>
      </w:pPr>
      <w:r w:rsidRPr="00BA1B7B">
        <w:rPr>
          <w:rFonts w:ascii="Arial" w:hAnsi="Arial" w:cs="Arial"/>
          <w:sz w:val="20"/>
          <w:szCs w:val="20"/>
        </w:rPr>
        <w:t xml:space="preserve">The Royal Australian and New Zealand College of Obstetricians and Gynaecologists (2019) Maternal Group B Streptococcus in Pregnancy: Screening and Management: </w:t>
      </w:r>
      <w:hyperlink r:id="rId98" w:history="1">
        <w:r w:rsidRPr="00BA1B7B">
          <w:rPr>
            <w:rStyle w:val="Hyperlink"/>
            <w:rFonts w:ascii="Arial" w:hAnsi="Arial" w:cs="Arial"/>
            <w:color w:val="auto"/>
            <w:sz w:val="20"/>
            <w:szCs w:val="20"/>
          </w:rPr>
          <w:t>https://ranzcoolpg.edu.au/RANZCOG_SITE/media/RANZCOG-MEDIA/Women%27s%20Health/Statement%20and%20guidelines/Clinical-Obstetrics/Maternal-Group-B-Streptococcus-in-pregnancy-screening-and-management-(C-Obs-19).pdf?ext=.pdf</w:t>
        </w:r>
      </w:hyperlink>
    </w:p>
    <w:p w14:paraId="40B43A3D" w14:textId="77777777" w:rsidR="00823C57" w:rsidRPr="00BA1B7B" w:rsidRDefault="00823C57" w:rsidP="00823C57">
      <w:pPr>
        <w:pStyle w:val="ListParagraph"/>
        <w:spacing w:line="240" w:lineRule="auto"/>
        <w:rPr>
          <w:rStyle w:val="Hyperlink"/>
          <w:rFonts w:ascii="Arial" w:hAnsi="Arial" w:cs="Arial"/>
          <w:color w:val="auto"/>
          <w:sz w:val="20"/>
          <w:szCs w:val="20"/>
        </w:rPr>
      </w:pPr>
    </w:p>
    <w:p w14:paraId="5D2B0E33" w14:textId="6B77D61E" w:rsidR="00823C57" w:rsidRPr="00BA1B7B" w:rsidRDefault="00823C57" w:rsidP="004A22FD">
      <w:pPr>
        <w:pStyle w:val="ListParagraph"/>
        <w:numPr>
          <w:ilvl w:val="0"/>
          <w:numId w:val="21"/>
        </w:numPr>
        <w:spacing w:line="276" w:lineRule="auto"/>
        <w:rPr>
          <w:rFonts w:ascii="Arial" w:hAnsi="Arial" w:cs="Arial"/>
          <w:sz w:val="20"/>
          <w:szCs w:val="20"/>
        </w:rPr>
      </w:pPr>
      <w:r w:rsidRPr="00BA1B7B">
        <w:rPr>
          <w:rFonts w:ascii="Arial" w:hAnsi="Arial" w:cs="Arial"/>
          <w:sz w:val="20"/>
          <w:szCs w:val="20"/>
        </w:rPr>
        <w:t>(Stagnaro-Green A, Abalovich M, Alexander E, et al.Guidelines of the American Thyroid Association for the Diagnosis and Management of Thyroid Disease during Pregnancy and Postpartum. Thyroid 2011;21:1–46)</w:t>
      </w:r>
    </w:p>
    <w:p w14:paraId="0D41016F" w14:textId="77777777" w:rsidR="00A83453" w:rsidRPr="00BA1B7B" w:rsidRDefault="00A83453" w:rsidP="00A83453">
      <w:pPr>
        <w:pStyle w:val="ListParagraph"/>
        <w:rPr>
          <w:rFonts w:ascii="Arial" w:hAnsi="Arial" w:cs="Arial"/>
          <w:sz w:val="20"/>
          <w:szCs w:val="20"/>
        </w:rPr>
      </w:pPr>
    </w:p>
    <w:p w14:paraId="00B7B9FC" w14:textId="77777777" w:rsidR="00A83453" w:rsidRPr="00BA1B7B" w:rsidRDefault="00A83453" w:rsidP="004A22FD">
      <w:pPr>
        <w:pStyle w:val="ListParagraph"/>
        <w:numPr>
          <w:ilvl w:val="0"/>
          <w:numId w:val="21"/>
        </w:numPr>
        <w:spacing w:line="240" w:lineRule="auto"/>
        <w:rPr>
          <w:rFonts w:ascii="Arial" w:hAnsi="Arial" w:cs="Arial"/>
          <w:sz w:val="20"/>
          <w:szCs w:val="20"/>
        </w:rPr>
      </w:pPr>
      <w:r w:rsidRPr="00BA1B7B">
        <w:rPr>
          <w:rFonts w:ascii="Arial" w:hAnsi="Arial" w:cs="Arial"/>
          <w:sz w:val="20"/>
          <w:szCs w:val="20"/>
        </w:rPr>
        <w:lastRenderedPageBreak/>
        <w:t xml:space="preserve">Victorian Clinical Genetic Services: </w:t>
      </w:r>
      <w:hyperlink r:id="rId99" w:history="1">
        <w:r w:rsidRPr="00BA1B7B">
          <w:rPr>
            <w:rStyle w:val="Hyperlink"/>
            <w:rFonts w:ascii="Arial" w:hAnsi="Arial" w:cs="Arial"/>
            <w:color w:val="auto"/>
            <w:sz w:val="20"/>
            <w:szCs w:val="20"/>
          </w:rPr>
          <w:t>https://www.vcgs.org.au/tests</w:t>
        </w:r>
      </w:hyperlink>
    </w:p>
    <w:p w14:paraId="6F5E3C6D" w14:textId="77777777" w:rsidR="00A83453" w:rsidRPr="00BA1B7B" w:rsidRDefault="00A83453" w:rsidP="00A83453">
      <w:pPr>
        <w:pStyle w:val="ListParagraph"/>
        <w:spacing w:line="276" w:lineRule="auto"/>
        <w:rPr>
          <w:rFonts w:ascii="Arial" w:hAnsi="Arial" w:cs="Arial"/>
          <w:sz w:val="20"/>
          <w:szCs w:val="20"/>
        </w:rPr>
      </w:pPr>
    </w:p>
    <w:p w14:paraId="0FBCB1AE" w14:textId="67387C8E" w:rsidR="009F1AD6" w:rsidRDefault="009F1AD6" w:rsidP="004E7BEF">
      <w:pPr>
        <w:pStyle w:val="SubheadingLevel2EASH"/>
        <w:spacing w:line="276" w:lineRule="auto"/>
        <w:ind w:left="0" w:right="95"/>
        <w:rPr>
          <w:color w:val="auto"/>
        </w:rPr>
      </w:pPr>
    </w:p>
    <w:p w14:paraId="7D0F354A" w14:textId="0A1D0BE5" w:rsidR="005F1FD7" w:rsidRDefault="005F1FD7" w:rsidP="004E7BEF">
      <w:pPr>
        <w:pStyle w:val="SubheadingLevel2EASH"/>
        <w:spacing w:line="276" w:lineRule="auto"/>
        <w:ind w:left="0" w:right="95"/>
        <w:rPr>
          <w:color w:val="auto"/>
        </w:rPr>
      </w:pPr>
    </w:p>
    <w:p w14:paraId="175DFF79" w14:textId="673FFDA3" w:rsidR="005F1FD7" w:rsidRDefault="005F1FD7" w:rsidP="004E7BEF">
      <w:pPr>
        <w:pStyle w:val="SubheadingLevel2EASH"/>
        <w:spacing w:line="276" w:lineRule="auto"/>
        <w:ind w:left="0" w:right="95"/>
        <w:rPr>
          <w:color w:val="auto"/>
        </w:rPr>
      </w:pPr>
    </w:p>
    <w:p w14:paraId="1CF24B8E" w14:textId="06FAA4A2" w:rsidR="005F1FD7" w:rsidRDefault="005F1FD7" w:rsidP="004E7BEF">
      <w:pPr>
        <w:pStyle w:val="SubheadingLevel2EASH"/>
        <w:spacing w:line="276" w:lineRule="auto"/>
        <w:ind w:left="0" w:right="95"/>
        <w:rPr>
          <w:color w:val="auto"/>
        </w:rPr>
      </w:pPr>
    </w:p>
    <w:p w14:paraId="588A924C" w14:textId="246B42D0" w:rsidR="005F1FD7" w:rsidRDefault="005F1FD7" w:rsidP="004E7BEF">
      <w:pPr>
        <w:pStyle w:val="SubheadingLevel2EASH"/>
        <w:spacing w:line="276" w:lineRule="auto"/>
        <w:ind w:left="0" w:right="95"/>
        <w:rPr>
          <w:color w:val="auto"/>
        </w:rPr>
      </w:pPr>
    </w:p>
    <w:p w14:paraId="41EEF6A3" w14:textId="1373774F" w:rsidR="005F1FD7" w:rsidRDefault="005F1FD7" w:rsidP="004E7BEF">
      <w:pPr>
        <w:pStyle w:val="SubheadingLevel2EASH"/>
        <w:spacing w:line="276" w:lineRule="auto"/>
        <w:ind w:left="0" w:right="95"/>
        <w:rPr>
          <w:color w:val="auto"/>
        </w:rPr>
      </w:pPr>
    </w:p>
    <w:p w14:paraId="4FB4D73B" w14:textId="025E881F" w:rsidR="005F1FD7" w:rsidRDefault="005F1FD7" w:rsidP="004E7BEF">
      <w:pPr>
        <w:pStyle w:val="SubheadingLevel2EASH"/>
        <w:spacing w:line="276" w:lineRule="auto"/>
        <w:ind w:left="0" w:right="95"/>
        <w:rPr>
          <w:color w:val="auto"/>
        </w:rPr>
      </w:pPr>
    </w:p>
    <w:p w14:paraId="7F98BEDC" w14:textId="0B4ED592" w:rsidR="005F1FD7" w:rsidRDefault="005F1FD7" w:rsidP="004E7BEF">
      <w:pPr>
        <w:pStyle w:val="SubheadingLevel2EASH"/>
        <w:spacing w:line="276" w:lineRule="auto"/>
        <w:ind w:left="0" w:right="95"/>
        <w:rPr>
          <w:color w:val="auto"/>
        </w:rPr>
      </w:pPr>
    </w:p>
    <w:p w14:paraId="6A63ED1F" w14:textId="7B2DEAAF" w:rsidR="005F1FD7" w:rsidRDefault="005F1FD7" w:rsidP="004E7BEF">
      <w:pPr>
        <w:pStyle w:val="SubheadingLevel2EASH"/>
        <w:spacing w:line="276" w:lineRule="auto"/>
        <w:ind w:left="0" w:right="95"/>
        <w:rPr>
          <w:color w:val="auto"/>
        </w:rPr>
      </w:pPr>
    </w:p>
    <w:p w14:paraId="2B9130D7" w14:textId="3F471F44" w:rsidR="005F1FD7" w:rsidRDefault="005F1FD7" w:rsidP="004E7BEF">
      <w:pPr>
        <w:pStyle w:val="SubheadingLevel2EASH"/>
        <w:spacing w:line="276" w:lineRule="auto"/>
        <w:ind w:left="0" w:right="95"/>
        <w:rPr>
          <w:color w:val="auto"/>
        </w:rPr>
      </w:pPr>
    </w:p>
    <w:p w14:paraId="26873B09" w14:textId="77777777" w:rsidR="005F1FD7" w:rsidRPr="00BA1B7B" w:rsidRDefault="005F1FD7" w:rsidP="004E7BEF">
      <w:pPr>
        <w:pStyle w:val="SubheadingLevel2EASH"/>
        <w:spacing w:line="276" w:lineRule="auto"/>
        <w:ind w:left="0" w:right="95"/>
        <w:rPr>
          <w:color w:val="auto"/>
        </w:rPr>
      </w:pPr>
    </w:p>
    <w:p w14:paraId="78F5F9E2" w14:textId="0FF8FAD3" w:rsidR="009F1AD6" w:rsidRPr="00BA1B7B" w:rsidRDefault="009F1AD6"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61" w:name="_Toc120614300"/>
      <w:r w:rsidRPr="00BA1B7B">
        <w:rPr>
          <w:rFonts w:ascii="Arial" w:eastAsia="Times New Roman" w:hAnsi="Arial" w:cs="Arial"/>
          <w:b/>
          <w:bCs/>
          <w:sz w:val="20"/>
          <w:szCs w:val="20"/>
          <w:lang w:eastAsia="en-AU"/>
        </w:rPr>
        <w:t>6. Management and referral of abnormal findings</w:t>
      </w:r>
      <w:bookmarkEnd w:id="61"/>
    </w:p>
    <w:p w14:paraId="4A367B6E" w14:textId="3BBA572E" w:rsidR="009F1AD6" w:rsidRPr="00BA1B7B" w:rsidRDefault="00096B39"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62" w:name="_Toc120614301"/>
      <w:r w:rsidRPr="00BA1B7B">
        <w:rPr>
          <w:rFonts w:ascii="Arial" w:eastAsia="Times New Roman" w:hAnsi="Arial" w:cs="Arial"/>
          <w:b/>
          <w:bCs/>
          <w:sz w:val="20"/>
          <w:szCs w:val="20"/>
          <w:lang w:eastAsia="en-AU"/>
        </w:rPr>
        <w:t>6.1</w:t>
      </w:r>
      <w:r w:rsidR="009F1AD6" w:rsidRPr="00BA1B7B">
        <w:rPr>
          <w:rFonts w:ascii="Arial" w:eastAsia="Times New Roman" w:hAnsi="Arial" w:cs="Arial"/>
          <w:b/>
          <w:bCs/>
          <w:sz w:val="20"/>
          <w:szCs w:val="20"/>
          <w:lang w:eastAsia="en-AU"/>
        </w:rPr>
        <w:t xml:space="preserve"> Bleeding in the 1st trimester</w:t>
      </w:r>
      <w:bookmarkEnd w:id="62"/>
    </w:p>
    <w:p w14:paraId="2729F9A3"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 xml:space="preserve">Any bleeding in pregnancy is considered abnormal and should be investigated. However, the majority of presentations of pain and/or bleeding in early pregnancy occur in the presence of an on-going viable pregnancy. Management of first trimester bleeding can occur within the community setting where appropriate.  However, for women requiring additional investigations and support, a referral to either the closest Emergency Department or Early Pregnancy Assessment Service (EPAS) is recommended. </w:t>
      </w:r>
    </w:p>
    <w:p w14:paraId="105AB16B" w14:textId="77777777" w:rsidR="009F1AD6" w:rsidRPr="00BA1B7B" w:rsidRDefault="009F1AD6" w:rsidP="009F1AD6">
      <w:pPr>
        <w:spacing w:line="276" w:lineRule="auto"/>
        <w:rPr>
          <w:rFonts w:ascii="Arial" w:hAnsi="Arial" w:cs="Arial"/>
          <w:sz w:val="20"/>
          <w:szCs w:val="20"/>
        </w:rPr>
      </w:pPr>
    </w:p>
    <w:p w14:paraId="02550920"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 xml:space="preserve">EPAS referral is completed using the GP E-referral form - </w:t>
      </w:r>
      <w:hyperlink r:id="rId100" w:history="1">
        <w:r w:rsidRPr="00BA1B7B">
          <w:rPr>
            <w:rStyle w:val="Hyperlink"/>
            <w:rFonts w:ascii="Arial" w:hAnsi="Arial" w:cs="Arial"/>
            <w:color w:val="auto"/>
            <w:sz w:val="20"/>
            <w:szCs w:val="20"/>
          </w:rPr>
          <w:t>https://au.healthlink.net/au_registration/</w:t>
        </w:r>
      </w:hyperlink>
      <w:r w:rsidRPr="00BA1B7B">
        <w:rPr>
          <w:rFonts w:ascii="Arial" w:hAnsi="Arial" w:cs="Arial"/>
          <w:sz w:val="20"/>
          <w:szCs w:val="20"/>
        </w:rPr>
        <w:t xml:space="preserve"> </w:t>
      </w:r>
    </w:p>
    <w:p w14:paraId="134BCD65"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and selecting EPAS. Complete as directed</w:t>
      </w:r>
    </w:p>
    <w:p w14:paraId="5E135B15" w14:textId="77777777" w:rsidR="009F1AD6" w:rsidRPr="00BA1B7B" w:rsidRDefault="009F1AD6" w:rsidP="009F1AD6">
      <w:pPr>
        <w:spacing w:line="276" w:lineRule="auto"/>
        <w:rPr>
          <w:rFonts w:ascii="Arial" w:hAnsi="Arial" w:cs="Arial"/>
          <w:sz w:val="20"/>
          <w:szCs w:val="20"/>
        </w:rPr>
      </w:pPr>
    </w:p>
    <w:p w14:paraId="279A18BC" w14:textId="79329FC1" w:rsidR="009F1AD6" w:rsidRPr="00BA1B7B" w:rsidRDefault="009F1AD6" w:rsidP="00BB42CB">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63" w:name="_Toc120614302"/>
      <w:r w:rsidRPr="00BA1B7B">
        <w:rPr>
          <w:rFonts w:ascii="Arial" w:eastAsia="Times New Roman" w:hAnsi="Arial" w:cs="Arial"/>
          <w:b/>
          <w:bCs/>
          <w:sz w:val="20"/>
          <w:szCs w:val="20"/>
          <w:lang w:eastAsia="en-AU"/>
        </w:rPr>
        <w:t>6.2 Bleeding in the 2nd and 3rd trimester – Antepartum Haemorrhage</w:t>
      </w:r>
      <w:bookmarkEnd w:id="63"/>
    </w:p>
    <w:p w14:paraId="51AF2C1D" w14:textId="77777777" w:rsidR="009F1AD6" w:rsidRPr="00BA1B7B" w:rsidRDefault="009F1AD6" w:rsidP="009F1AD6">
      <w:pPr>
        <w:spacing w:line="276" w:lineRule="auto"/>
        <w:jc w:val="center"/>
        <w:rPr>
          <w:rFonts w:ascii="Arial" w:hAnsi="Arial" w:cs="Arial"/>
          <w:b/>
          <w:bCs/>
          <w:i/>
          <w:iCs/>
          <w:sz w:val="20"/>
          <w:szCs w:val="20"/>
        </w:rPr>
      </w:pPr>
      <w:r w:rsidRPr="00BA1B7B">
        <w:rPr>
          <w:rFonts w:ascii="Arial" w:hAnsi="Arial" w:cs="Arial"/>
          <w:b/>
          <w:bCs/>
          <w:i/>
          <w:iCs/>
          <w:sz w:val="20"/>
          <w:szCs w:val="20"/>
        </w:rPr>
        <w:t>All women with vaginal bleeding in pregnancy ≥ 12 weeks gestation should be referred to the hospital for review. However; after 37 weeks gestation it is important to distinguish between a ‘show’ in association with normal labour and APH.  A small amount of bleeding mixed with mucus in a patient who is contracting is probably a normal show and does not require intervention</w:t>
      </w:r>
    </w:p>
    <w:p w14:paraId="483C2FB9" w14:textId="77777777" w:rsidR="009F1AD6" w:rsidRPr="00BA1B7B" w:rsidRDefault="009F1AD6" w:rsidP="009F1AD6">
      <w:pPr>
        <w:spacing w:line="276" w:lineRule="auto"/>
        <w:rPr>
          <w:rFonts w:ascii="Arial" w:hAnsi="Arial" w:cs="Arial"/>
          <w:sz w:val="20"/>
          <w:szCs w:val="20"/>
        </w:rPr>
      </w:pPr>
    </w:p>
    <w:p w14:paraId="47FFA838" w14:textId="77777777" w:rsidR="009F1AD6" w:rsidRPr="00BA1B7B" w:rsidRDefault="009F1AD6" w:rsidP="009F1AD6">
      <w:pPr>
        <w:spacing w:line="276" w:lineRule="auto"/>
        <w:rPr>
          <w:rFonts w:ascii="Arial" w:hAnsi="Arial" w:cs="Arial"/>
          <w:sz w:val="20"/>
          <w:szCs w:val="20"/>
        </w:rPr>
      </w:pPr>
      <w:r w:rsidRPr="00BA1B7B">
        <w:rPr>
          <w:rFonts w:ascii="Arial" w:hAnsi="Arial" w:cs="Arial"/>
          <w:b/>
          <w:bCs/>
          <w:sz w:val="20"/>
          <w:szCs w:val="20"/>
        </w:rPr>
        <w:t>Antepartum Haemorrhage (APH)</w:t>
      </w:r>
      <w:r w:rsidRPr="00BA1B7B">
        <w:rPr>
          <w:rFonts w:ascii="Arial" w:hAnsi="Arial" w:cs="Arial"/>
          <w:sz w:val="20"/>
          <w:szCs w:val="20"/>
        </w:rPr>
        <w:t xml:space="preserve"> – an APH is defined as vaginal bleeding in pregnancy after viability, usually taken as 24 weeks gestation.</w:t>
      </w:r>
    </w:p>
    <w:p w14:paraId="35E54848"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Causes of APH:</w:t>
      </w:r>
    </w:p>
    <w:p w14:paraId="3812C720" w14:textId="77777777" w:rsidR="009F1AD6" w:rsidRPr="00BA1B7B" w:rsidRDefault="009F1AD6" w:rsidP="004A22FD">
      <w:pPr>
        <w:pStyle w:val="ListParagraph"/>
        <w:numPr>
          <w:ilvl w:val="0"/>
          <w:numId w:val="31"/>
        </w:numPr>
        <w:spacing w:line="276" w:lineRule="auto"/>
        <w:rPr>
          <w:rFonts w:ascii="Arial" w:hAnsi="Arial" w:cs="Arial"/>
          <w:sz w:val="20"/>
          <w:szCs w:val="20"/>
        </w:rPr>
      </w:pPr>
      <w:r w:rsidRPr="00BA1B7B">
        <w:rPr>
          <w:rFonts w:ascii="Arial" w:hAnsi="Arial" w:cs="Arial"/>
          <w:sz w:val="20"/>
          <w:szCs w:val="20"/>
        </w:rPr>
        <w:t>Placental Causes: Abruption, Placenta praevia, Marginal bleeding from the placental edge</w:t>
      </w:r>
    </w:p>
    <w:p w14:paraId="436DEFB7" w14:textId="77777777" w:rsidR="009F1AD6" w:rsidRPr="00BA1B7B" w:rsidRDefault="009F1AD6" w:rsidP="004A22FD">
      <w:pPr>
        <w:pStyle w:val="ListParagraph"/>
        <w:numPr>
          <w:ilvl w:val="0"/>
          <w:numId w:val="31"/>
        </w:numPr>
        <w:spacing w:line="276" w:lineRule="auto"/>
        <w:rPr>
          <w:rFonts w:ascii="Arial" w:hAnsi="Arial" w:cs="Arial"/>
          <w:sz w:val="20"/>
          <w:szCs w:val="20"/>
        </w:rPr>
      </w:pPr>
      <w:r w:rsidRPr="00BA1B7B">
        <w:rPr>
          <w:rFonts w:ascii="Arial" w:hAnsi="Arial" w:cs="Arial"/>
          <w:sz w:val="20"/>
          <w:szCs w:val="20"/>
        </w:rPr>
        <w:t>Vasa praevia</w:t>
      </w:r>
    </w:p>
    <w:p w14:paraId="6B921831" w14:textId="77777777" w:rsidR="009F1AD6" w:rsidRPr="00BA1B7B" w:rsidRDefault="009F1AD6" w:rsidP="004A22FD">
      <w:pPr>
        <w:pStyle w:val="ListParagraph"/>
        <w:numPr>
          <w:ilvl w:val="0"/>
          <w:numId w:val="31"/>
        </w:numPr>
        <w:spacing w:line="276" w:lineRule="auto"/>
        <w:rPr>
          <w:rFonts w:ascii="Arial" w:hAnsi="Arial" w:cs="Arial"/>
          <w:sz w:val="20"/>
          <w:szCs w:val="20"/>
        </w:rPr>
      </w:pPr>
      <w:r w:rsidRPr="00BA1B7B">
        <w:rPr>
          <w:rFonts w:ascii="Arial" w:hAnsi="Arial" w:cs="Arial"/>
          <w:sz w:val="20"/>
          <w:szCs w:val="20"/>
        </w:rPr>
        <w:lastRenderedPageBreak/>
        <w:t>Local cervical and vaginal causes: Cervicitis, cervical polyp, ectropion, cervical carcinoma and more</w:t>
      </w:r>
    </w:p>
    <w:p w14:paraId="5EB71266" w14:textId="77777777" w:rsidR="009F1AD6" w:rsidRPr="00BA1B7B" w:rsidRDefault="009F1AD6" w:rsidP="009F1AD6">
      <w:pPr>
        <w:spacing w:line="276" w:lineRule="auto"/>
        <w:rPr>
          <w:rFonts w:ascii="Arial" w:hAnsi="Arial" w:cs="Arial"/>
          <w:sz w:val="20"/>
          <w:szCs w:val="20"/>
        </w:rPr>
      </w:pPr>
    </w:p>
    <w:p w14:paraId="3049C3F9" w14:textId="77777777" w:rsidR="009F1AD6" w:rsidRPr="00BA1B7B" w:rsidRDefault="009F1AD6" w:rsidP="009F1AD6">
      <w:pPr>
        <w:spacing w:line="276" w:lineRule="auto"/>
        <w:jc w:val="center"/>
        <w:rPr>
          <w:rFonts w:ascii="Arial" w:hAnsi="Arial" w:cs="Arial"/>
          <w:b/>
          <w:bCs/>
          <w:sz w:val="20"/>
          <w:szCs w:val="20"/>
        </w:rPr>
      </w:pPr>
      <w:r w:rsidRPr="00BA1B7B">
        <w:rPr>
          <w:rFonts w:ascii="Arial" w:hAnsi="Arial" w:cs="Arial"/>
          <w:b/>
          <w:bCs/>
          <w:sz w:val="20"/>
          <w:szCs w:val="20"/>
        </w:rPr>
        <w:t>Women with an APH should be immediately transferred to hospital for review.</w:t>
      </w:r>
    </w:p>
    <w:p w14:paraId="18EFF709" w14:textId="77777777" w:rsidR="009F1AD6" w:rsidRPr="00BA1B7B" w:rsidRDefault="009F1AD6" w:rsidP="009F1AD6">
      <w:pPr>
        <w:spacing w:line="276" w:lineRule="auto"/>
        <w:jc w:val="center"/>
        <w:rPr>
          <w:rFonts w:ascii="Arial" w:hAnsi="Arial" w:cs="Arial"/>
          <w:b/>
          <w:bCs/>
          <w:sz w:val="20"/>
          <w:szCs w:val="20"/>
        </w:rPr>
      </w:pPr>
    </w:p>
    <w:p w14:paraId="48E4C400" w14:textId="77777777" w:rsidR="009F1AD6" w:rsidRPr="00BA1B7B" w:rsidRDefault="009F1AD6" w:rsidP="009F1AD6">
      <w:pPr>
        <w:spacing w:line="276" w:lineRule="auto"/>
        <w:jc w:val="center"/>
        <w:rPr>
          <w:rFonts w:ascii="Arial" w:hAnsi="Arial" w:cs="Arial"/>
          <w:i/>
          <w:iCs/>
          <w:sz w:val="20"/>
          <w:szCs w:val="20"/>
        </w:rPr>
      </w:pPr>
      <w:r w:rsidRPr="00BA1B7B">
        <w:rPr>
          <w:rFonts w:ascii="Arial" w:hAnsi="Arial" w:cs="Arial"/>
          <w:i/>
          <w:iCs/>
          <w:sz w:val="20"/>
          <w:szCs w:val="20"/>
        </w:rPr>
        <w:t>If required, aim for in-utero transfer if safe to do so.</w:t>
      </w:r>
    </w:p>
    <w:p w14:paraId="0B400287" w14:textId="77777777" w:rsidR="009F1AD6" w:rsidRPr="00BA1B7B" w:rsidRDefault="009F1AD6" w:rsidP="009F1AD6">
      <w:pPr>
        <w:spacing w:line="276" w:lineRule="auto"/>
        <w:jc w:val="center"/>
        <w:rPr>
          <w:rFonts w:ascii="Arial" w:hAnsi="Arial" w:cs="Arial"/>
          <w:i/>
          <w:iCs/>
          <w:sz w:val="20"/>
          <w:szCs w:val="20"/>
        </w:rPr>
      </w:pPr>
      <w:r w:rsidRPr="00BA1B7B">
        <w:rPr>
          <w:rFonts w:ascii="Arial" w:hAnsi="Arial" w:cs="Arial"/>
          <w:i/>
          <w:iCs/>
          <w:sz w:val="20"/>
          <w:szCs w:val="20"/>
        </w:rPr>
        <w:t xml:space="preserve">Within Victoria, seek assistance from Paediatric Infant and Perinatal Referral service (PIPER): </w:t>
      </w:r>
    </w:p>
    <w:p w14:paraId="31ADB64F" w14:textId="77777777" w:rsidR="009F1AD6" w:rsidRPr="00BA1B7B" w:rsidRDefault="009F1AD6" w:rsidP="009F1AD6">
      <w:pPr>
        <w:spacing w:line="276" w:lineRule="auto"/>
        <w:jc w:val="center"/>
        <w:rPr>
          <w:rFonts w:ascii="Arial" w:hAnsi="Arial" w:cs="Arial"/>
          <w:i/>
          <w:iCs/>
          <w:sz w:val="20"/>
          <w:szCs w:val="20"/>
        </w:rPr>
      </w:pPr>
      <w:r w:rsidRPr="00BA1B7B">
        <w:rPr>
          <w:rFonts w:ascii="Arial" w:hAnsi="Arial" w:cs="Arial"/>
          <w:i/>
          <w:iCs/>
          <w:sz w:val="20"/>
          <w:szCs w:val="20"/>
        </w:rPr>
        <w:t>1300 137 650 or Ambulance Victoria on 000</w:t>
      </w:r>
    </w:p>
    <w:p w14:paraId="7037B031" w14:textId="77777777" w:rsidR="009F1AD6" w:rsidRPr="00BA1B7B" w:rsidRDefault="009F1AD6" w:rsidP="009F1AD6">
      <w:pPr>
        <w:rPr>
          <w:rFonts w:ascii="Arial" w:hAnsi="Arial" w:cs="Arial"/>
          <w:b/>
          <w:bCs/>
          <w:sz w:val="20"/>
          <w:szCs w:val="20"/>
        </w:rPr>
      </w:pPr>
    </w:p>
    <w:p w14:paraId="236F2A2F" w14:textId="5073E214" w:rsidR="009F1AD6" w:rsidRPr="00BA1B7B" w:rsidRDefault="009F1AD6"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64" w:name="_Toc120614303"/>
      <w:r w:rsidRPr="00BA1B7B">
        <w:rPr>
          <w:rFonts w:ascii="Arial" w:eastAsia="Times New Roman" w:hAnsi="Arial" w:cs="Arial"/>
          <w:b/>
          <w:bCs/>
          <w:sz w:val="20"/>
          <w:szCs w:val="20"/>
          <w:lang w:eastAsia="en-AU"/>
        </w:rPr>
        <w:t>6.3 Suspected FGR/SGA Small for Gestational Age (SGA) and Fetal Growth Restriction (FGR)</w:t>
      </w:r>
      <w:bookmarkEnd w:id="64"/>
    </w:p>
    <w:p w14:paraId="1CA6120C"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 xml:space="preserve">Eastern Health practices as per recommendations from Stillbirth Centre of Research Excellence as supported by Safer Care Victoria within their “Fetal growth restriction education program”. </w:t>
      </w:r>
    </w:p>
    <w:p w14:paraId="467DB7A9" w14:textId="05B47F84" w:rsidR="007A499C" w:rsidRPr="00BA1B7B" w:rsidRDefault="007A499C" w:rsidP="009F1AD6">
      <w:pPr>
        <w:spacing w:line="276" w:lineRule="auto"/>
        <w:rPr>
          <w:rFonts w:ascii="Arial" w:hAnsi="Arial" w:cs="Arial"/>
          <w:b/>
          <w:w w:val="105"/>
          <w:sz w:val="20"/>
          <w:szCs w:val="20"/>
        </w:rPr>
      </w:pPr>
    </w:p>
    <w:p w14:paraId="2203F9DC" w14:textId="7352B1D9" w:rsidR="009F1AD6" w:rsidRPr="00BA1B7B" w:rsidRDefault="009F1AD6" w:rsidP="009F1AD6">
      <w:pPr>
        <w:spacing w:line="276" w:lineRule="auto"/>
        <w:rPr>
          <w:rFonts w:ascii="Arial" w:hAnsi="Arial" w:cs="Arial"/>
          <w:b/>
          <w:w w:val="105"/>
          <w:sz w:val="20"/>
          <w:szCs w:val="20"/>
        </w:rPr>
      </w:pPr>
      <w:r w:rsidRPr="00BA1B7B">
        <w:rPr>
          <w:rFonts w:ascii="Arial" w:hAnsi="Arial" w:cs="Arial"/>
          <w:b/>
          <w:w w:val="105"/>
          <w:sz w:val="20"/>
          <w:szCs w:val="20"/>
        </w:rPr>
        <w:t xml:space="preserve">Background </w:t>
      </w:r>
    </w:p>
    <w:p w14:paraId="2EDA65C7" w14:textId="5A8D93F1" w:rsidR="009F1AD6" w:rsidRPr="00BA1B7B" w:rsidRDefault="009F1AD6" w:rsidP="007A499C">
      <w:pPr>
        <w:spacing w:line="276" w:lineRule="auto"/>
        <w:rPr>
          <w:rFonts w:ascii="Arial" w:hAnsi="Arial" w:cs="Arial"/>
          <w:sz w:val="20"/>
          <w:szCs w:val="20"/>
        </w:rPr>
      </w:pPr>
      <w:r w:rsidRPr="00BA1B7B">
        <w:rPr>
          <w:rFonts w:ascii="Arial" w:hAnsi="Arial" w:cs="Arial"/>
          <w:sz w:val="20"/>
          <w:szCs w:val="20"/>
        </w:rPr>
        <w:t>Poor neonatal outcomes can sometimes be attributed to undetected Fetal Growth Restriction (FGR) at term, where there were missed opportunities to detect, and then appropriately monitor and manage FGR.</w:t>
      </w:r>
    </w:p>
    <w:p w14:paraId="047178C5" w14:textId="77777777" w:rsidR="007A499C" w:rsidRPr="00BA1B7B" w:rsidRDefault="007A499C" w:rsidP="007A499C">
      <w:pPr>
        <w:spacing w:line="276" w:lineRule="auto"/>
        <w:rPr>
          <w:rFonts w:ascii="Arial" w:hAnsi="Arial" w:cs="Arial"/>
          <w:sz w:val="20"/>
          <w:szCs w:val="20"/>
        </w:rPr>
      </w:pPr>
    </w:p>
    <w:p w14:paraId="2DC34E71" w14:textId="2E12B662" w:rsidR="009F1AD6" w:rsidRPr="00BA1B7B" w:rsidRDefault="009F1AD6" w:rsidP="007A499C">
      <w:pPr>
        <w:pStyle w:val="BodytextEASH"/>
        <w:ind w:left="0"/>
        <w:rPr>
          <w:color w:val="auto"/>
          <w:lang w:val="en-AU"/>
        </w:rPr>
      </w:pPr>
      <w:r w:rsidRPr="00BA1B7B">
        <w:rPr>
          <w:color w:val="auto"/>
          <w:lang w:val="en-AU"/>
        </w:rPr>
        <w:t xml:space="preserve">The National Health and Medical Research Council (NHMRC) Centre for Research and Excellence has released the Safer Baby Bundle of care to improve mother and baby outcomes </w:t>
      </w:r>
      <w:hyperlink r:id="rId101" w:history="1">
        <w:r w:rsidRPr="00BA1B7B">
          <w:rPr>
            <w:color w:val="auto"/>
            <w:lang w:val="en-AU"/>
          </w:rPr>
          <w:t>https://www.stillbirthcre.org.au/safer-baby-bundle/</w:t>
        </w:r>
      </w:hyperlink>
      <w:r w:rsidRPr="00BA1B7B">
        <w:rPr>
          <w:color w:val="auto"/>
          <w:lang w:val="en-AU"/>
        </w:rPr>
        <w:t>.</w:t>
      </w:r>
    </w:p>
    <w:p w14:paraId="1EEB8C8B" w14:textId="77777777" w:rsidR="007A499C" w:rsidRPr="00BA1B7B" w:rsidRDefault="007A499C" w:rsidP="007A499C">
      <w:pPr>
        <w:pStyle w:val="BodytextEASH"/>
        <w:ind w:left="0"/>
        <w:rPr>
          <w:color w:val="auto"/>
          <w:lang w:val="en-AU"/>
        </w:rPr>
      </w:pPr>
    </w:p>
    <w:p w14:paraId="38A515C0" w14:textId="0500D188" w:rsidR="009F1AD6" w:rsidRPr="00BA1B7B" w:rsidRDefault="009F1AD6" w:rsidP="004A22FD">
      <w:pPr>
        <w:pStyle w:val="BodytextEASH"/>
        <w:ind w:left="0"/>
        <w:rPr>
          <w:color w:val="auto"/>
          <w:lang w:val="en-AU"/>
        </w:rPr>
      </w:pPr>
      <w:r w:rsidRPr="00BA1B7B">
        <w:rPr>
          <w:color w:val="auto"/>
          <w:lang w:val="en-AU"/>
        </w:rPr>
        <w:t>The Safer Baby Bundle consists of five elements which Eastern Health has implemented:</w:t>
      </w:r>
    </w:p>
    <w:p w14:paraId="30403247" w14:textId="3F844317" w:rsidR="009F1AD6" w:rsidRPr="00BA1B7B" w:rsidRDefault="009F1AD6" w:rsidP="007A499C">
      <w:pPr>
        <w:pStyle w:val="BodytextEASH"/>
        <w:numPr>
          <w:ilvl w:val="0"/>
          <w:numId w:val="68"/>
        </w:numPr>
        <w:rPr>
          <w:color w:val="auto"/>
          <w:lang w:val="en-AU"/>
        </w:rPr>
      </w:pPr>
      <w:r w:rsidRPr="00BA1B7B">
        <w:rPr>
          <w:color w:val="auto"/>
          <w:lang w:val="en-AU"/>
        </w:rPr>
        <w:t>Supporting women to stop smoking in pregnancy</w:t>
      </w:r>
    </w:p>
    <w:p w14:paraId="29D5AB3B" w14:textId="7AC1AE2A" w:rsidR="009F1AD6" w:rsidRPr="00BA1B7B" w:rsidRDefault="009F1AD6" w:rsidP="007A499C">
      <w:pPr>
        <w:pStyle w:val="BodytextEASH"/>
        <w:numPr>
          <w:ilvl w:val="0"/>
          <w:numId w:val="68"/>
        </w:numPr>
        <w:rPr>
          <w:color w:val="auto"/>
          <w:lang w:val="en-AU"/>
        </w:rPr>
      </w:pPr>
      <w:r w:rsidRPr="00BA1B7B">
        <w:rPr>
          <w:color w:val="auto"/>
          <w:lang w:val="en-AU"/>
        </w:rPr>
        <w:t>Improving detection and management of fetal growth restriction</w:t>
      </w:r>
    </w:p>
    <w:p w14:paraId="0516BD52" w14:textId="2F7F8CBF" w:rsidR="009F1AD6" w:rsidRPr="00BA1B7B" w:rsidRDefault="009F1AD6" w:rsidP="007A499C">
      <w:pPr>
        <w:pStyle w:val="BodytextEASH"/>
        <w:numPr>
          <w:ilvl w:val="0"/>
          <w:numId w:val="68"/>
        </w:numPr>
        <w:rPr>
          <w:color w:val="auto"/>
          <w:lang w:val="en-AU"/>
        </w:rPr>
      </w:pPr>
      <w:r w:rsidRPr="00BA1B7B">
        <w:rPr>
          <w:color w:val="auto"/>
          <w:lang w:val="en-AU"/>
        </w:rPr>
        <w:t>Raising awareness and improving care for women with decreased fetal movement (DFM)</w:t>
      </w:r>
    </w:p>
    <w:p w14:paraId="54699FD2" w14:textId="5AB0FA01" w:rsidR="009F1AD6" w:rsidRPr="00BA1B7B" w:rsidRDefault="009F1AD6" w:rsidP="007A499C">
      <w:pPr>
        <w:pStyle w:val="BodytextEASH"/>
        <w:numPr>
          <w:ilvl w:val="0"/>
          <w:numId w:val="68"/>
        </w:numPr>
        <w:rPr>
          <w:color w:val="auto"/>
          <w:lang w:val="en-AU"/>
        </w:rPr>
      </w:pPr>
      <w:r w:rsidRPr="00BA1B7B">
        <w:rPr>
          <w:color w:val="auto"/>
          <w:lang w:val="en-AU"/>
        </w:rPr>
        <w:t>Improving awareness of safe going to sleep position in late pregnancy</w:t>
      </w:r>
    </w:p>
    <w:p w14:paraId="719CB9AA" w14:textId="6B9F1E95" w:rsidR="009F1AD6" w:rsidRPr="00BA1B7B" w:rsidRDefault="009F1AD6" w:rsidP="007A499C">
      <w:pPr>
        <w:pStyle w:val="BodytextEASH"/>
        <w:numPr>
          <w:ilvl w:val="0"/>
          <w:numId w:val="68"/>
        </w:numPr>
        <w:rPr>
          <w:color w:val="auto"/>
          <w:lang w:val="en-AU"/>
        </w:rPr>
      </w:pPr>
      <w:r w:rsidRPr="00BA1B7B">
        <w:rPr>
          <w:color w:val="auto"/>
          <w:lang w:val="en-AU"/>
        </w:rPr>
        <w:t>Improving the decision making about the timing of birth for women with risk factors for still birth</w:t>
      </w:r>
    </w:p>
    <w:p w14:paraId="526524C0" w14:textId="77777777" w:rsidR="007A499C" w:rsidRPr="00BA1B7B" w:rsidRDefault="007A499C" w:rsidP="007A499C">
      <w:pPr>
        <w:pStyle w:val="BodytextEASH"/>
        <w:ind w:left="720"/>
        <w:rPr>
          <w:color w:val="auto"/>
          <w:lang w:val="en-AU"/>
        </w:rPr>
      </w:pPr>
    </w:p>
    <w:p w14:paraId="248BA991" w14:textId="02C279D9" w:rsidR="009F1AD6" w:rsidRPr="00BA1B7B" w:rsidRDefault="009F1AD6" w:rsidP="004A22FD">
      <w:pPr>
        <w:pStyle w:val="BodytextEASH"/>
        <w:ind w:left="0"/>
        <w:rPr>
          <w:b/>
          <w:color w:val="auto"/>
        </w:rPr>
      </w:pPr>
      <w:r w:rsidRPr="00BA1B7B">
        <w:rPr>
          <w:b/>
          <w:color w:val="auto"/>
          <w:w w:val="105"/>
        </w:rPr>
        <w:t>Causes of FGR</w:t>
      </w:r>
    </w:p>
    <w:p w14:paraId="1CF4EE6E" w14:textId="77777777" w:rsidR="009F1AD6" w:rsidRPr="00BA1B7B" w:rsidRDefault="009F1AD6" w:rsidP="00096B39">
      <w:pPr>
        <w:pStyle w:val="BodytextEASH"/>
        <w:ind w:left="0"/>
        <w:rPr>
          <w:color w:val="auto"/>
        </w:rPr>
      </w:pPr>
      <w:r w:rsidRPr="00BA1B7B">
        <w:rPr>
          <w:color w:val="auto"/>
        </w:rPr>
        <w:t xml:space="preserve">Fetal growth restriction can be the result of maternal, fetal, placental, genetic causes or a combination of either, although the underlying cause of fetal growth restriction in most cases is placental. </w:t>
      </w:r>
    </w:p>
    <w:p w14:paraId="7B6BA1C3" w14:textId="77777777" w:rsidR="009F1AD6" w:rsidRPr="00BA1B7B" w:rsidRDefault="009F1AD6" w:rsidP="00096B39">
      <w:pPr>
        <w:pStyle w:val="BodytextEASH"/>
        <w:ind w:left="0"/>
        <w:rPr>
          <w:color w:val="auto"/>
        </w:rPr>
      </w:pPr>
      <w:r w:rsidRPr="00BA1B7B">
        <w:rPr>
          <w:color w:val="auto"/>
        </w:rPr>
        <w:lastRenderedPageBreak/>
        <w:t>Fetal growth restriction is strongly associated with;</w:t>
      </w:r>
    </w:p>
    <w:p w14:paraId="6B29B1B2" w14:textId="77777777" w:rsidR="009F1AD6" w:rsidRPr="00BA1B7B" w:rsidRDefault="009F1AD6" w:rsidP="00096B39">
      <w:pPr>
        <w:pStyle w:val="BodytextEASH"/>
        <w:numPr>
          <w:ilvl w:val="0"/>
          <w:numId w:val="69"/>
        </w:numPr>
        <w:rPr>
          <w:color w:val="auto"/>
        </w:rPr>
      </w:pPr>
      <w:r w:rsidRPr="00BA1B7B">
        <w:rPr>
          <w:color w:val="auto"/>
        </w:rPr>
        <w:t>Stillbirth</w:t>
      </w:r>
    </w:p>
    <w:p w14:paraId="3992DD3F" w14:textId="77777777" w:rsidR="009F1AD6" w:rsidRPr="00BA1B7B" w:rsidRDefault="009F1AD6" w:rsidP="00096B39">
      <w:pPr>
        <w:pStyle w:val="BodytextEASH"/>
        <w:numPr>
          <w:ilvl w:val="0"/>
          <w:numId w:val="69"/>
        </w:numPr>
        <w:rPr>
          <w:color w:val="auto"/>
        </w:rPr>
      </w:pPr>
      <w:r w:rsidRPr="00BA1B7B">
        <w:rPr>
          <w:color w:val="auto"/>
        </w:rPr>
        <w:t>Neonatal death</w:t>
      </w:r>
    </w:p>
    <w:p w14:paraId="523E7CCC" w14:textId="77777777" w:rsidR="009F1AD6" w:rsidRPr="00BA1B7B" w:rsidRDefault="009F1AD6" w:rsidP="00096B39">
      <w:pPr>
        <w:pStyle w:val="BodytextEASH"/>
        <w:numPr>
          <w:ilvl w:val="0"/>
          <w:numId w:val="69"/>
        </w:numPr>
        <w:rPr>
          <w:color w:val="auto"/>
        </w:rPr>
      </w:pPr>
      <w:r w:rsidRPr="00BA1B7B">
        <w:rPr>
          <w:color w:val="auto"/>
        </w:rPr>
        <w:t>Perinatal morbidity</w:t>
      </w:r>
    </w:p>
    <w:p w14:paraId="73788E00" w14:textId="6671077A" w:rsidR="004A22FD" w:rsidRPr="00BA1B7B" w:rsidRDefault="009F1AD6" w:rsidP="00096B39">
      <w:pPr>
        <w:pStyle w:val="BodytextEASH"/>
        <w:numPr>
          <w:ilvl w:val="0"/>
          <w:numId w:val="69"/>
        </w:numPr>
        <w:rPr>
          <w:color w:val="auto"/>
        </w:rPr>
      </w:pPr>
      <w:r w:rsidRPr="00BA1B7B">
        <w:rPr>
          <w:color w:val="auto"/>
        </w:rPr>
        <w:t>Longer term adverse outcomes such as impaired neurological and cognitive development, cardiovascular and endocrine diseases in adult hood.</w:t>
      </w:r>
    </w:p>
    <w:p w14:paraId="1938CD9B" w14:textId="77777777" w:rsidR="007A499C" w:rsidRPr="00BA1B7B" w:rsidRDefault="007A499C" w:rsidP="007A499C">
      <w:pPr>
        <w:pStyle w:val="BodytextEASH"/>
        <w:ind w:left="720"/>
        <w:rPr>
          <w:color w:val="auto"/>
        </w:rPr>
      </w:pPr>
    </w:p>
    <w:p w14:paraId="5DE5902F" w14:textId="274DEC8C" w:rsidR="009F1AD6" w:rsidRPr="00BA1B7B" w:rsidRDefault="009F1AD6" w:rsidP="004A22FD">
      <w:pPr>
        <w:pStyle w:val="BodytextEASH"/>
        <w:ind w:left="0"/>
        <w:rPr>
          <w:b/>
          <w:color w:val="auto"/>
          <w:w w:val="105"/>
        </w:rPr>
      </w:pPr>
      <w:r w:rsidRPr="00BA1B7B">
        <w:rPr>
          <w:b/>
          <w:color w:val="auto"/>
          <w:w w:val="105"/>
        </w:rPr>
        <w:t>Defining FGR</w:t>
      </w:r>
    </w:p>
    <w:p w14:paraId="4AD950A3" w14:textId="35D1FF1E" w:rsidR="009F1AD6" w:rsidRPr="00BA1B7B" w:rsidRDefault="009F1AD6" w:rsidP="009F1AD6">
      <w:pPr>
        <w:pStyle w:val="BodyText"/>
        <w:spacing w:line="232" w:lineRule="auto"/>
        <w:ind w:right="1460"/>
        <w:jc w:val="both"/>
        <w:rPr>
          <w:rFonts w:ascii="Arial" w:hAnsi="Arial" w:cs="Arial"/>
          <w:b/>
          <w:i/>
          <w:sz w:val="20"/>
          <w:szCs w:val="20"/>
        </w:rPr>
      </w:pPr>
      <w:r w:rsidRPr="00BA1B7B">
        <w:rPr>
          <w:rFonts w:ascii="Arial" w:hAnsi="Arial" w:cs="Arial"/>
          <w:sz w:val="20"/>
          <w:szCs w:val="20"/>
        </w:rPr>
        <w:t>There</w:t>
      </w:r>
      <w:r w:rsidRPr="00BA1B7B">
        <w:rPr>
          <w:rFonts w:ascii="Arial" w:hAnsi="Arial" w:cs="Arial"/>
          <w:spacing w:val="-6"/>
          <w:sz w:val="20"/>
          <w:szCs w:val="20"/>
        </w:rPr>
        <w:t xml:space="preserve"> </w:t>
      </w:r>
      <w:r w:rsidRPr="00BA1B7B">
        <w:rPr>
          <w:rFonts w:ascii="Arial" w:hAnsi="Arial" w:cs="Arial"/>
          <w:sz w:val="20"/>
          <w:szCs w:val="20"/>
        </w:rPr>
        <w:t>is</w:t>
      </w:r>
      <w:r w:rsidRPr="00BA1B7B">
        <w:rPr>
          <w:rFonts w:ascii="Arial" w:hAnsi="Arial" w:cs="Arial"/>
          <w:spacing w:val="-6"/>
          <w:sz w:val="20"/>
          <w:szCs w:val="20"/>
        </w:rPr>
        <w:t xml:space="preserve"> </w:t>
      </w:r>
      <w:r w:rsidRPr="00BA1B7B">
        <w:rPr>
          <w:rFonts w:ascii="Arial" w:hAnsi="Arial" w:cs="Arial"/>
          <w:sz w:val="20"/>
          <w:szCs w:val="20"/>
        </w:rPr>
        <w:t>no</w:t>
      </w:r>
      <w:r w:rsidRPr="00BA1B7B">
        <w:rPr>
          <w:rFonts w:ascii="Arial" w:hAnsi="Arial" w:cs="Arial"/>
          <w:spacing w:val="-6"/>
          <w:sz w:val="20"/>
          <w:szCs w:val="20"/>
        </w:rPr>
        <w:t xml:space="preserve"> </w:t>
      </w:r>
      <w:r w:rsidRPr="00BA1B7B">
        <w:rPr>
          <w:rFonts w:ascii="Arial" w:hAnsi="Arial" w:cs="Arial"/>
          <w:sz w:val="20"/>
          <w:szCs w:val="20"/>
        </w:rPr>
        <w:t>universally</w:t>
      </w:r>
      <w:r w:rsidRPr="00BA1B7B">
        <w:rPr>
          <w:rFonts w:ascii="Arial" w:hAnsi="Arial" w:cs="Arial"/>
          <w:spacing w:val="-7"/>
          <w:sz w:val="20"/>
          <w:szCs w:val="20"/>
        </w:rPr>
        <w:t xml:space="preserve"> </w:t>
      </w:r>
      <w:r w:rsidRPr="00BA1B7B">
        <w:rPr>
          <w:rFonts w:ascii="Arial" w:hAnsi="Arial" w:cs="Arial"/>
          <w:sz w:val="20"/>
          <w:szCs w:val="20"/>
        </w:rPr>
        <w:t>agreed</w:t>
      </w:r>
      <w:r w:rsidRPr="00BA1B7B">
        <w:rPr>
          <w:rFonts w:ascii="Arial" w:hAnsi="Arial" w:cs="Arial"/>
          <w:spacing w:val="-5"/>
          <w:sz w:val="20"/>
          <w:szCs w:val="20"/>
        </w:rPr>
        <w:t xml:space="preserve"> </w:t>
      </w:r>
      <w:r w:rsidRPr="00BA1B7B">
        <w:rPr>
          <w:rFonts w:ascii="Arial" w:hAnsi="Arial" w:cs="Arial"/>
          <w:sz w:val="20"/>
          <w:szCs w:val="20"/>
        </w:rPr>
        <w:t>definition</w:t>
      </w:r>
      <w:r w:rsidRPr="00BA1B7B">
        <w:rPr>
          <w:rFonts w:ascii="Arial" w:hAnsi="Arial" w:cs="Arial"/>
          <w:spacing w:val="-7"/>
          <w:sz w:val="20"/>
          <w:szCs w:val="20"/>
        </w:rPr>
        <w:t xml:space="preserve"> </w:t>
      </w:r>
      <w:r w:rsidRPr="00BA1B7B">
        <w:rPr>
          <w:rFonts w:ascii="Arial" w:hAnsi="Arial" w:cs="Arial"/>
          <w:sz w:val="20"/>
          <w:szCs w:val="20"/>
        </w:rPr>
        <w:t>of</w:t>
      </w:r>
      <w:r w:rsidRPr="00BA1B7B">
        <w:rPr>
          <w:rFonts w:ascii="Arial" w:hAnsi="Arial" w:cs="Arial"/>
          <w:spacing w:val="-6"/>
          <w:sz w:val="20"/>
          <w:szCs w:val="20"/>
        </w:rPr>
        <w:t xml:space="preserve"> </w:t>
      </w:r>
      <w:r w:rsidRPr="00BA1B7B">
        <w:rPr>
          <w:rFonts w:ascii="Arial" w:hAnsi="Arial" w:cs="Arial"/>
          <w:sz w:val="20"/>
          <w:szCs w:val="20"/>
        </w:rPr>
        <w:t>fetal</w:t>
      </w:r>
      <w:r w:rsidRPr="00BA1B7B">
        <w:rPr>
          <w:rFonts w:ascii="Arial" w:hAnsi="Arial" w:cs="Arial"/>
          <w:spacing w:val="-6"/>
          <w:sz w:val="20"/>
          <w:szCs w:val="20"/>
        </w:rPr>
        <w:t xml:space="preserve"> </w:t>
      </w:r>
      <w:r w:rsidRPr="00BA1B7B">
        <w:rPr>
          <w:rFonts w:ascii="Arial" w:hAnsi="Arial" w:cs="Arial"/>
          <w:sz w:val="20"/>
          <w:szCs w:val="20"/>
        </w:rPr>
        <w:t>growth</w:t>
      </w:r>
      <w:r w:rsidRPr="00BA1B7B">
        <w:rPr>
          <w:rFonts w:ascii="Arial" w:hAnsi="Arial" w:cs="Arial"/>
          <w:spacing w:val="-6"/>
          <w:sz w:val="20"/>
          <w:szCs w:val="20"/>
        </w:rPr>
        <w:t xml:space="preserve"> </w:t>
      </w:r>
      <w:r w:rsidRPr="00BA1B7B">
        <w:rPr>
          <w:rFonts w:ascii="Arial" w:hAnsi="Arial" w:cs="Arial"/>
          <w:sz w:val="20"/>
          <w:szCs w:val="20"/>
        </w:rPr>
        <w:t>restriction</w:t>
      </w:r>
      <w:r w:rsidRPr="00BA1B7B">
        <w:rPr>
          <w:rFonts w:ascii="Arial" w:hAnsi="Arial" w:cs="Arial"/>
          <w:spacing w:val="-5"/>
          <w:sz w:val="20"/>
          <w:szCs w:val="20"/>
        </w:rPr>
        <w:t xml:space="preserve"> </w:t>
      </w:r>
      <w:r w:rsidRPr="00BA1B7B">
        <w:rPr>
          <w:rFonts w:ascii="Arial" w:hAnsi="Arial" w:cs="Arial"/>
          <w:sz w:val="20"/>
          <w:szCs w:val="20"/>
        </w:rPr>
        <w:t>(FGR);</w:t>
      </w:r>
      <w:r w:rsidRPr="00BA1B7B">
        <w:rPr>
          <w:rFonts w:ascii="Arial" w:hAnsi="Arial" w:cs="Arial"/>
          <w:spacing w:val="-5"/>
          <w:sz w:val="20"/>
          <w:szCs w:val="20"/>
        </w:rPr>
        <w:t xml:space="preserve"> </w:t>
      </w:r>
      <w:r w:rsidRPr="00BA1B7B">
        <w:rPr>
          <w:rFonts w:ascii="Arial" w:hAnsi="Arial" w:cs="Arial"/>
          <w:sz w:val="20"/>
          <w:szCs w:val="20"/>
        </w:rPr>
        <w:t>however,</w:t>
      </w:r>
      <w:r w:rsidRPr="00BA1B7B">
        <w:rPr>
          <w:rFonts w:ascii="Arial" w:hAnsi="Arial" w:cs="Arial"/>
          <w:spacing w:val="-6"/>
          <w:sz w:val="20"/>
          <w:szCs w:val="20"/>
        </w:rPr>
        <w:t xml:space="preserve"> </w:t>
      </w:r>
      <w:r w:rsidRPr="00BA1B7B">
        <w:rPr>
          <w:rFonts w:ascii="Arial" w:hAnsi="Arial" w:cs="Arial"/>
          <w:sz w:val="20"/>
          <w:szCs w:val="20"/>
        </w:rPr>
        <w:t>the</w:t>
      </w:r>
      <w:r w:rsidRPr="00BA1B7B">
        <w:rPr>
          <w:rFonts w:ascii="Arial" w:hAnsi="Arial" w:cs="Arial"/>
          <w:spacing w:val="-5"/>
          <w:sz w:val="20"/>
          <w:szCs w:val="20"/>
        </w:rPr>
        <w:t xml:space="preserve"> </w:t>
      </w:r>
      <w:r w:rsidRPr="00BA1B7B">
        <w:rPr>
          <w:rFonts w:ascii="Arial" w:hAnsi="Arial" w:cs="Arial"/>
          <w:sz w:val="20"/>
          <w:szCs w:val="20"/>
        </w:rPr>
        <w:t>Perinatal</w:t>
      </w:r>
      <w:r w:rsidRPr="00BA1B7B">
        <w:rPr>
          <w:rFonts w:ascii="Arial" w:hAnsi="Arial" w:cs="Arial"/>
          <w:spacing w:val="-6"/>
          <w:sz w:val="20"/>
          <w:szCs w:val="20"/>
        </w:rPr>
        <w:t xml:space="preserve"> </w:t>
      </w:r>
      <w:r w:rsidRPr="00BA1B7B">
        <w:rPr>
          <w:rFonts w:ascii="Arial" w:hAnsi="Arial" w:cs="Arial"/>
          <w:sz w:val="20"/>
          <w:szCs w:val="20"/>
        </w:rPr>
        <w:t>Society</w:t>
      </w:r>
      <w:r w:rsidRPr="00BA1B7B">
        <w:rPr>
          <w:rFonts w:ascii="Arial" w:hAnsi="Arial" w:cs="Arial"/>
          <w:spacing w:val="-6"/>
          <w:sz w:val="20"/>
          <w:szCs w:val="20"/>
        </w:rPr>
        <w:t xml:space="preserve"> </w:t>
      </w:r>
      <w:r w:rsidRPr="00BA1B7B">
        <w:rPr>
          <w:rFonts w:ascii="Arial" w:hAnsi="Arial" w:cs="Arial"/>
          <w:sz w:val="20"/>
          <w:szCs w:val="20"/>
        </w:rPr>
        <w:t>of Australia</w:t>
      </w:r>
      <w:r w:rsidRPr="00BA1B7B">
        <w:rPr>
          <w:rFonts w:ascii="Arial" w:hAnsi="Arial" w:cs="Arial"/>
          <w:spacing w:val="-6"/>
          <w:sz w:val="20"/>
          <w:szCs w:val="20"/>
        </w:rPr>
        <w:t xml:space="preserve"> </w:t>
      </w:r>
      <w:r w:rsidRPr="00BA1B7B">
        <w:rPr>
          <w:rFonts w:ascii="Arial" w:hAnsi="Arial" w:cs="Arial"/>
          <w:sz w:val="20"/>
          <w:szCs w:val="20"/>
        </w:rPr>
        <w:t>and</w:t>
      </w:r>
      <w:r w:rsidRPr="00BA1B7B">
        <w:rPr>
          <w:rFonts w:ascii="Arial" w:hAnsi="Arial" w:cs="Arial"/>
          <w:spacing w:val="-5"/>
          <w:sz w:val="20"/>
          <w:szCs w:val="20"/>
        </w:rPr>
        <w:t xml:space="preserve"> </w:t>
      </w:r>
      <w:r w:rsidRPr="00BA1B7B">
        <w:rPr>
          <w:rFonts w:ascii="Arial" w:hAnsi="Arial" w:cs="Arial"/>
          <w:sz w:val="20"/>
          <w:szCs w:val="20"/>
        </w:rPr>
        <w:t>New</w:t>
      </w:r>
      <w:r w:rsidRPr="00BA1B7B">
        <w:rPr>
          <w:rFonts w:ascii="Arial" w:hAnsi="Arial" w:cs="Arial"/>
          <w:spacing w:val="-5"/>
          <w:sz w:val="20"/>
          <w:szCs w:val="20"/>
        </w:rPr>
        <w:t xml:space="preserve"> </w:t>
      </w:r>
      <w:r w:rsidRPr="00BA1B7B">
        <w:rPr>
          <w:rFonts w:ascii="Arial" w:hAnsi="Arial" w:cs="Arial"/>
          <w:sz w:val="20"/>
          <w:szCs w:val="20"/>
        </w:rPr>
        <w:t>Zealand</w:t>
      </w:r>
      <w:r w:rsidRPr="00BA1B7B">
        <w:rPr>
          <w:rFonts w:ascii="Arial" w:hAnsi="Arial" w:cs="Arial"/>
          <w:spacing w:val="-5"/>
          <w:sz w:val="20"/>
          <w:szCs w:val="20"/>
        </w:rPr>
        <w:t xml:space="preserve"> </w:t>
      </w:r>
      <w:r w:rsidRPr="00BA1B7B">
        <w:rPr>
          <w:rFonts w:ascii="Arial" w:hAnsi="Arial" w:cs="Arial"/>
          <w:sz w:val="20"/>
          <w:szCs w:val="20"/>
        </w:rPr>
        <w:t>(PSANZ)</w:t>
      </w:r>
      <w:r w:rsidRPr="00BA1B7B">
        <w:rPr>
          <w:rFonts w:ascii="Arial" w:hAnsi="Arial" w:cs="Arial"/>
          <w:spacing w:val="-4"/>
          <w:sz w:val="20"/>
          <w:szCs w:val="20"/>
        </w:rPr>
        <w:t xml:space="preserve"> </w:t>
      </w:r>
      <w:r w:rsidRPr="00BA1B7B">
        <w:rPr>
          <w:rFonts w:ascii="Arial" w:hAnsi="Arial" w:cs="Arial"/>
          <w:sz w:val="20"/>
          <w:szCs w:val="20"/>
        </w:rPr>
        <w:t>and</w:t>
      </w:r>
      <w:r w:rsidRPr="00BA1B7B">
        <w:rPr>
          <w:rFonts w:ascii="Arial" w:hAnsi="Arial" w:cs="Arial"/>
          <w:spacing w:val="-6"/>
          <w:sz w:val="20"/>
          <w:szCs w:val="20"/>
        </w:rPr>
        <w:t xml:space="preserve"> </w:t>
      </w:r>
      <w:r w:rsidRPr="00BA1B7B">
        <w:rPr>
          <w:rFonts w:ascii="Arial" w:hAnsi="Arial" w:cs="Arial"/>
          <w:sz w:val="20"/>
          <w:szCs w:val="20"/>
        </w:rPr>
        <w:t>Stillbirth</w:t>
      </w:r>
      <w:r w:rsidRPr="00BA1B7B">
        <w:rPr>
          <w:rFonts w:ascii="Arial" w:hAnsi="Arial" w:cs="Arial"/>
          <w:spacing w:val="-5"/>
          <w:sz w:val="20"/>
          <w:szCs w:val="20"/>
        </w:rPr>
        <w:t xml:space="preserve"> </w:t>
      </w:r>
      <w:r w:rsidRPr="00BA1B7B">
        <w:rPr>
          <w:rFonts w:ascii="Arial" w:hAnsi="Arial" w:cs="Arial"/>
          <w:sz w:val="20"/>
          <w:szCs w:val="20"/>
        </w:rPr>
        <w:t>Centre</w:t>
      </w:r>
      <w:r w:rsidRPr="00BA1B7B">
        <w:rPr>
          <w:rFonts w:ascii="Arial" w:hAnsi="Arial" w:cs="Arial"/>
          <w:spacing w:val="-5"/>
          <w:sz w:val="20"/>
          <w:szCs w:val="20"/>
        </w:rPr>
        <w:t xml:space="preserve"> </w:t>
      </w:r>
      <w:r w:rsidRPr="00BA1B7B">
        <w:rPr>
          <w:rFonts w:ascii="Arial" w:hAnsi="Arial" w:cs="Arial"/>
          <w:sz w:val="20"/>
          <w:szCs w:val="20"/>
        </w:rPr>
        <w:t>of</w:t>
      </w:r>
      <w:r w:rsidRPr="00BA1B7B">
        <w:rPr>
          <w:rFonts w:ascii="Arial" w:hAnsi="Arial" w:cs="Arial"/>
          <w:spacing w:val="-5"/>
          <w:sz w:val="20"/>
          <w:szCs w:val="20"/>
        </w:rPr>
        <w:t xml:space="preserve"> </w:t>
      </w:r>
      <w:r w:rsidRPr="00BA1B7B">
        <w:rPr>
          <w:rFonts w:ascii="Arial" w:hAnsi="Arial" w:cs="Arial"/>
          <w:sz w:val="20"/>
          <w:szCs w:val="20"/>
        </w:rPr>
        <w:t>Research</w:t>
      </w:r>
      <w:r w:rsidRPr="00BA1B7B">
        <w:rPr>
          <w:rFonts w:ascii="Arial" w:hAnsi="Arial" w:cs="Arial"/>
          <w:spacing w:val="-5"/>
          <w:sz w:val="20"/>
          <w:szCs w:val="20"/>
        </w:rPr>
        <w:t xml:space="preserve"> </w:t>
      </w:r>
      <w:r w:rsidRPr="00BA1B7B">
        <w:rPr>
          <w:rFonts w:ascii="Arial" w:hAnsi="Arial" w:cs="Arial"/>
          <w:sz w:val="20"/>
          <w:szCs w:val="20"/>
        </w:rPr>
        <w:t>Excellence</w:t>
      </w:r>
      <w:r w:rsidRPr="00BA1B7B">
        <w:rPr>
          <w:rFonts w:ascii="Arial" w:hAnsi="Arial" w:cs="Arial"/>
          <w:spacing w:val="-4"/>
          <w:sz w:val="20"/>
          <w:szCs w:val="20"/>
        </w:rPr>
        <w:t xml:space="preserve"> </w:t>
      </w:r>
      <w:r w:rsidRPr="00BA1B7B">
        <w:rPr>
          <w:rFonts w:ascii="Arial" w:hAnsi="Arial" w:cs="Arial"/>
          <w:sz w:val="20"/>
          <w:szCs w:val="20"/>
        </w:rPr>
        <w:t>(Stillbirth</w:t>
      </w:r>
      <w:r w:rsidRPr="00BA1B7B">
        <w:rPr>
          <w:rFonts w:ascii="Arial" w:hAnsi="Arial" w:cs="Arial"/>
          <w:spacing w:val="-6"/>
          <w:sz w:val="20"/>
          <w:szCs w:val="20"/>
        </w:rPr>
        <w:t xml:space="preserve"> </w:t>
      </w:r>
      <w:r w:rsidRPr="00BA1B7B">
        <w:rPr>
          <w:rFonts w:ascii="Arial" w:hAnsi="Arial" w:cs="Arial"/>
          <w:sz w:val="20"/>
          <w:szCs w:val="20"/>
        </w:rPr>
        <w:t>CRE)</w:t>
      </w:r>
      <w:r w:rsidRPr="00BA1B7B">
        <w:rPr>
          <w:rFonts w:ascii="Arial" w:hAnsi="Arial" w:cs="Arial"/>
          <w:spacing w:val="-5"/>
          <w:sz w:val="20"/>
          <w:szCs w:val="20"/>
        </w:rPr>
        <w:t xml:space="preserve"> </w:t>
      </w:r>
      <w:r w:rsidRPr="00BA1B7B">
        <w:rPr>
          <w:rFonts w:ascii="Arial" w:hAnsi="Arial" w:cs="Arial"/>
          <w:sz w:val="20"/>
          <w:szCs w:val="20"/>
        </w:rPr>
        <w:t>define</w:t>
      </w:r>
      <w:r w:rsidRPr="00BA1B7B">
        <w:rPr>
          <w:rFonts w:ascii="Arial" w:hAnsi="Arial" w:cs="Arial"/>
          <w:spacing w:val="-6"/>
          <w:sz w:val="20"/>
          <w:szCs w:val="20"/>
        </w:rPr>
        <w:t xml:space="preserve"> </w:t>
      </w:r>
      <w:r w:rsidRPr="00BA1B7B">
        <w:rPr>
          <w:rFonts w:ascii="Arial" w:hAnsi="Arial" w:cs="Arial"/>
          <w:sz w:val="20"/>
          <w:szCs w:val="20"/>
        </w:rPr>
        <w:t>it</w:t>
      </w:r>
      <w:r w:rsidRPr="00BA1B7B">
        <w:rPr>
          <w:rFonts w:ascii="Arial" w:hAnsi="Arial" w:cs="Arial"/>
          <w:spacing w:val="-5"/>
          <w:sz w:val="20"/>
          <w:szCs w:val="20"/>
        </w:rPr>
        <w:t xml:space="preserve"> </w:t>
      </w:r>
      <w:r w:rsidRPr="00BA1B7B">
        <w:rPr>
          <w:rFonts w:ascii="Arial" w:hAnsi="Arial" w:cs="Arial"/>
          <w:sz w:val="20"/>
          <w:szCs w:val="20"/>
        </w:rPr>
        <w:t xml:space="preserve">as: </w:t>
      </w:r>
      <w:r w:rsidRPr="00BA1B7B">
        <w:rPr>
          <w:rFonts w:ascii="Arial" w:hAnsi="Arial" w:cs="Arial"/>
          <w:b/>
          <w:i/>
          <w:spacing w:val="-8"/>
          <w:sz w:val="20"/>
          <w:szCs w:val="20"/>
        </w:rPr>
        <w:t xml:space="preserve">‘A </w:t>
      </w:r>
      <w:r w:rsidRPr="00BA1B7B">
        <w:rPr>
          <w:rFonts w:ascii="Arial" w:hAnsi="Arial" w:cs="Arial"/>
          <w:b/>
          <w:i/>
          <w:sz w:val="20"/>
          <w:szCs w:val="20"/>
        </w:rPr>
        <w:t>Fetus that has not reached its growth</w:t>
      </w:r>
      <w:r w:rsidRPr="00BA1B7B">
        <w:rPr>
          <w:rFonts w:ascii="Arial" w:hAnsi="Arial" w:cs="Arial"/>
          <w:b/>
          <w:i/>
          <w:spacing w:val="2"/>
          <w:sz w:val="20"/>
          <w:szCs w:val="20"/>
        </w:rPr>
        <w:t xml:space="preserve"> </w:t>
      </w:r>
      <w:r w:rsidRPr="00BA1B7B">
        <w:rPr>
          <w:rFonts w:ascii="Arial" w:hAnsi="Arial" w:cs="Arial"/>
          <w:b/>
          <w:i/>
          <w:sz w:val="20"/>
          <w:szCs w:val="20"/>
        </w:rPr>
        <w:t>potential’</w:t>
      </w:r>
      <w:r w:rsidR="004A22FD" w:rsidRPr="00BA1B7B">
        <w:rPr>
          <w:rFonts w:ascii="Arial" w:hAnsi="Arial" w:cs="Arial"/>
          <w:b/>
          <w:i/>
          <w:sz w:val="20"/>
          <w:szCs w:val="20"/>
        </w:rPr>
        <w:t>.</w:t>
      </w:r>
    </w:p>
    <w:p w14:paraId="5434F212" w14:textId="77777777" w:rsidR="004A22FD" w:rsidRPr="00BA1B7B" w:rsidRDefault="004A22FD" w:rsidP="009F1AD6">
      <w:pPr>
        <w:pStyle w:val="BodyText"/>
        <w:spacing w:line="232" w:lineRule="auto"/>
        <w:ind w:right="1460"/>
        <w:jc w:val="both"/>
        <w:rPr>
          <w:rFonts w:ascii="Arial" w:hAnsi="Arial" w:cs="Arial"/>
          <w:b/>
          <w:i/>
          <w:sz w:val="20"/>
          <w:szCs w:val="20"/>
        </w:rPr>
      </w:pPr>
    </w:p>
    <w:p w14:paraId="64CAE625" w14:textId="2A2B6594" w:rsidR="009F1AD6" w:rsidRPr="00BA1B7B" w:rsidRDefault="009F1AD6" w:rsidP="004A22FD">
      <w:pPr>
        <w:pStyle w:val="BodyText"/>
        <w:spacing w:before="1" w:line="232" w:lineRule="auto"/>
        <w:ind w:right="95"/>
        <w:rPr>
          <w:rFonts w:ascii="Arial" w:hAnsi="Arial" w:cs="Arial"/>
          <w:sz w:val="20"/>
          <w:szCs w:val="20"/>
        </w:rPr>
      </w:pPr>
      <w:r w:rsidRPr="00BA1B7B">
        <w:rPr>
          <w:rFonts w:ascii="Arial" w:hAnsi="Arial" w:cs="Arial"/>
          <w:sz w:val="20"/>
          <w:szCs w:val="20"/>
        </w:rPr>
        <w:t>It is important to note the difference between Fetal Growth Restriction (FGR) and Small for Gestational Age (SGA). Definitions also vary for SGA though most agree, that it is;</w:t>
      </w:r>
    </w:p>
    <w:p w14:paraId="56EBFF31" w14:textId="2B60701F" w:rsidR="009F1AD6" w:rsidRPr="00BA1B7B" w:rsidRDefault="009F1AD6" w:rsidP="004A22FD">
      <w:pPr>
        <w:pStyle w:val="ListParagraph"/>
        <w:widowControl w:val="0"/>
        <w:numPr>
          <w:ilvl w:val="0"/>
          <w:numId w:val="27"/>
        </w:numPr>
        <w:tabs>
          <w:tab w:val="left" w:pos="2224"/>
        </w:tabs>
        <w:autoSpaceDE w:val="0"/>
        <w:autoSpaceDN w:val="0"/>
        <w:spacing w:after="0" w:line="264" w:lineRule="exact"/>
        <w:contextualSpacing w:val="0"/>
        <w:rPr>
          <w:rFonts w:ascii="Arial" w:hAnsi="Arial" w:cs="Arial"/>
          <w:sz w:val="20"/>
          <w:szCs w:val="20"/>
        </w:rPr>
      </w:pPr>
      <w:r w:rsidRPr="00BA1B7B">
        <w:rPr>
          <w:rFonts w:ascii="Arial" w:hAnsi="Arial" w:cs="Arial"/>
          <w:sz w:val="20"/>
          <w:szCs w:val="20"/>
        </w:rPr>
        <w:t xml:space="preserve">an estimated </w:t>
      </w:r>
      <w:r w:rsidRPr="00BA1B7B">
        <w:rPr>
          <w:rFonts w:ascii="Arial" w:hAnsi="Arial" w:cs="Arial"/>
          <w:spacing w:val="-3"/>
          <w:sz w:val="20"/>
          <w:szCs w:val="20"/>
        </w:rPr>
        <w:t xml:space="preserve">fetal </w:t>
      </w:r>
      <w:r w:rsidRPr="00BA1B7B">
        <w:rPr>
          <w:rFonts w:ascii="Arial" w:hAnsi="Arial" w:cs="Arial"/>
          <w:sz w:val="20"/>
          <w:szCs w:val="20"/>
        </w:rPr>
        <w:t>weight (EFW) less than the 1</w:t>
      </w:r>
      <w:r w:rsidR="005F1FD7">
        <w:rPr>
          <w:rFonts w:ascii="Arial" w:hAnsi="Arial" w:cs="Arial"/>
          <w:sz w:val="20"/>
          <w:szCs w:val="20"/>
        </w:rPr>
        <w:t>0</w:t>
      </w:r>
      <w:r w:rsidRPr="00BA1B7B">
        <w:rPr>
          <w:rFonts w:ascii="Arial" w:hAnsi="Arial" w:cs="Arial"/>
          <w:position w:val="7"/>
          <w:sz w:val="20"/>
          <w:szCs w:val="20"/>
        </w:rPr>
        <w:t xml:space="preserve">th </w:t>
      </w:r>
      <w:r w:rsidRPr="00BA1B7B">
        <w:rPr>
          <w:rFonts w:ascii="Arial" w:hAnsi="Arial" w:cs="Arial"/>
          <w:sz w:val="20"/>
          <w:szCs w:val="20"/>
        </w:rPr>
        <w:t>centile</w:t>
      </w:r>
      <w:r w:rsidRPr="00BA1B7B">
        <w:rPr>
          <w:rFonts w:ascii="Arial" w:hAnsi="Arial" w:cs="Arial"/>
          <w:spacing w:val="-16"/>
          <w:sz w:val="20"/>
          <w:szCs w:val="20"/>
        </w:rPr>
        <w:t xml:space="preserve"> </w:t>
      </w:r>
      <w:r w:rsidRPr="00BA1B7B">
        <w:rPr>
          <w:rFonts w:ascii="Arial" w:hAnsi="Arial" w:cs="Arial"/>
          <w:sz w:val="20"/>
          <w:szCs w:val="20"/>
        </w:rPr>
        <w:t>or</w:t>
      </w:r>
    </w:p>
    <w:p w14:paraId="36A9EE44" w14:textId="77777777" w:rsidR="009F1AD6" w:rsidRPr="00BA1B7B" w:rsidRDefault="009F1AD6" w:rsidP="004A22FD">
      <w:pPr>
        <w:pStyle w:val="ListParagraph"/>
        <w:widowControl w:val="0"/>
        <w:numPr>
          <w:ilvl w:val="0"/>
          <w:numId w:val="27"/>
        </w:numPr>
        <w:tabs>
          <w:tab w:val="left" w:pos="2224"/>
        </w:tabs>
        <w:autoSpaceDE w:val="0"/>
        <w:autoSpaceDN w:val="0"/>
        <w:spacing w:after="0" w:line="266" w:lineRule="exact"/>
        <w:contextualSpacing w:val="0"/>
        <w:rPr>
          <w:rFonts w:ascii="Arial" w:hAnsi="Arial" w:cs="Arial"/>
          <w:sz w:val="20"/>
          <w:szCs w:val="20"/>
        </w:rPr>
      </w:pPr>
      <w:r w:rsidRPr="00BA1B7B">
        <w:rPr>
          <w:rFonts w:ascii="Arial" w:hAnsi="Arial" w:cs="Arial"/>
          <w:sz w:val="20"/>
          <w:szCs w:val="20"/>
        </w:rPr>
        <w:t>birth weight as less than the 10</w:t>
      </w:r>
      <w:r w:rsidRPr="00BA1B7B">
        <w:rPr>
          <w:rFonts w:ascii="Arial" w:hAnsi="Arial" w:cs="Arial"/>
          <w:position w:val="7"/>
          <w:sz w:val="20"/>
          <w:szCs w:val="20"/>
        </w:rPr>
        <w:t>th</w:t>
      </w:r>
      <w:r w:rsidRPr="00BA1B7B">
        <w:rPr>
          <w:rFonts w:ascii="Arial" w:hAnsi="Arial" w:cs="Arial"/>
          <w:spacing w:val="15"/>
          <w:position w:val="7"/>
          <w:sz w:val="20"/>
          <w:szCs w:val="20"/>
        </w:rPr>
        <w:t xml:space="preserve"> </w:t>
      </w:r>
      <w:r w:rsidRPr="00BA1B7B">
        <w:rPr>
          <w:rFonts w:ascii="Arial" w:hAnsi="Arial" w:cs="Arial"/>
          <w:sz w:val="20"/>
          <w:szCs w:val="20"/>
        </w:rPr>
        <w:t>centile</w:t>
      </w:r>
    </w:p>
    <w:p w14:paraId="30267D06" w14:textId="77777777" w:rsidR="009F1AD6" w:rsidRPr="00BA1B7B" w:rsidRDefault="009F1AD6" w:rsidP="009F1AD6">
      <w:pPr>
        <w:pStyle w:val="BodyText"/>
        <w:spacing w:before="169" w:line="232" w:lineRule="auto"/>
        <w:ind w:right="876"/>
        <w:rPr>
          <w:rFonts w:ascii="Arial" w:hAnsi="Arial" w:cs="Arial"/>
          <w:sz w:val="20"/>
          <w:szCs w:val="20"/>
        </w:rPr>
      </w:pPr>
      <w:r w:rsidRPr="00BA1B7B">
        <w:rPr>
          <w:rFonts w:ascii="Arial" w:hAnsi="Arial" w:cs="Arial"/>
          <w:sz w:val="20"/>
          <w:szCs w:val="20"/>
        </w:rPr>
        <w:t>Small for gestation age (SGA) of less than the 10</w:t>
      </w:r>
      <w:r w:rsidRPr="00BA1B7B">
        <w:rPr>
          <w:rFonts w:ascii="Arial" w:hAnsi="Arial" w:cs="Arial"/>
          <w:position w:val="7"/>
          <w:sz w:val="20"/>
          <w:szCs w:val="20"/>
        </w:rPr>
        <w:t xml:space="preserve">th </w:t>
      </w:r>
      <w:r w:rsidRPr="00BA1B7B">
        <w:rPr>
          <w:rFonts w:ascii="Arial" w:hAnsi="Arial" w:cs="Arial"/>
          <w:sz w:val="20"/>
          <w:szCs w:val="20"/>
        </w:rPr>
        <w:t>centile is often used as a surrogate or proxy for FGR however, between 50-70% of fetuses are constitutionally small, with growth appropriate for maternal size and ethnicity, and therefore:</w:t>
      </w:r>
    </w:p>
    <w:p w14:paraId="4F970C3F" w14:textId="77777777" w:rsidR="009F1AD6" w:rsidRPr="00BA1B7B" w:rsidRDefault="009F1AD6" w:rsidP="004A22FD">
      <w:pPr>
        <w:pStyle w:val="ListParagraph"/>
        <w:widowControl w:val="0"/>
        <w:numPr>
          <w:ilvl w:val="1"/>
          <w:numId w:val="26"/>
        </w:numPr>
        <w:tabs>
          <w:tab w:val="left" w:pos="2224"/>
        </w:tabs>
        <w:autoSpaceDE w:val="0"/>
        <w:autoSpaceDN w:val="0"/>
        <w:spacing w:after="0" w:line="265" w:lineRule="exact"/>
        <w:ind w:hanging="361"/>
        <w:contextualSpacing w:val="0"/>
        <w:rPr>
          <w:rFonts w:ascii="Arial" w:hAnsi="Arial" w:cs="Arial"/>
          <w:sz w:val="20"/>
          <w:szCs w:val="20"/>
        </w:rPr>
      </w:pPr>
      <w:r w:rsidRPr="00BA1B7B">
        <w:rPr>
          <w:rFonts w:ascii="Arial" w:hAnsi="Arial" w:cs="Arial"/>
          <w:sz w:val="20"/>
          <w:szCs w:val="20"/>
        </w:rPr>
        <w:t>Not all SGA fetuses are growth restricted</w:t>
      </w:r>
      <w:r w:rsidRPr="00BA1B7B">
        <w:rPr>
          <w:rFonts w:ascii="Arial" w:hAnsi="Arial" w:cs="Arial"/>
          <w:spacing w:val="-4"/>
          <w:sz w:val="20"/>
          <w:szCs w:val="20"/>
        </w:rPr>
        <w:t xml:space="preserve"> </w:t>
      </w:r>
      <w:r w:rsidRPr="00BA1B7B">
        <w:rPr>
          <w:rFonts w:ascii="Arial" w:hAnsi="Arial" w:cs="Arial"/>
          <w:sz w:val="20"/>
          <w:szCs w:val="20"/>
        </w:rPr>
        <w:t>and,</w:t>
      </w:r>
    </w:p>
    <w:p w14:paraId="70BDA826" w14:textId="77777777" w:rsidR="009F1AD6" w:rsidRPr="00BA1B7B" w:rsidRDefault="009F1AD6" w:rsidP="004A22FD">
      <w:pPr>
        <w:pStyle w:val="ListParagraph"/>
        <w:widowControl w:val="0"/>
        <w:numPr>
          <w:ilvl w:val="1"/>
          <w:numId w:val="26"/>
        </w:numPr>
        <w:tabs>
          <w:tab w:val="left" w:pos="2224"/>
        </w:tabs>
        <w:autoSpaceDE w:val="0"/>
        <w:autoSpaceDN w:val="0"/>
        <w:spacing w:after="0" w:line="266" w:lineRule="exact"/>
        <w:ind w:hanging="361"/>
        <w:contextualSpacing w:val="0"/>
        <w:rPr>
          <w:rFonts w:ascii="Arial" w:hAnsi="Arial" w:cs="Arial"/>
          <w:sz w:val="20"/>
          <w:szCs w:val="20"/>
        </w:rPr>
      </w:pPr>
      <w:r w:rsidRPr="00BA1B7B">
        <w:rPr>
          <w:rFonts w:ascii="Arial" w:hAnsi="Arial" w:cs="Arial"/>
          <w:sz w:val="20"/>
          <w:szCs w:val="20"/>
        </w:rPr>
        <w:t>Some growth restricted fetuses are not</w:t>
      </w:r>
      <w:r w:rsidRPr="00BA1B7B">
        <w:rPr>
          <w:rFonts w:ascii="Arial" w:hAnsi="Arial" w:cs="Arial"/>
          <w:spacing w:val="-4"/>
          <w:sz w:val="20"/>
          <w:szCs w:val="20"/>
        </w:rPr>
        <w:t xml:space="preserve"> </w:t>
      </w:r>
      <w:r w:rsidRPr="00BA1B7B">
        <w:rPr>
          <w:rFonts w:ascii="Arial" w:hAnsi="Arial" w:cs="Arial"/>
          <w:sz w:val="20"/>
          <w:szCs w:val="20"/>
        </w:rPr>
        <w:t>SGA</w:t>
      </w:r>
    </w:p>
    <w:p w14:paraId="36E89CC9" w14:textId="77777777" w:rsidR="009F1AD6" w:rsidRPr="00BA1B7B" w:rsidRDefault="009F1AD6" w:rsidP="009F1AD6">
      <w:pPr>
        <w:spacing w:before="99"/>
        <w:rPr>
          <w:rFonts w:ascii="Arial" w:hAnsi="Arial" w:cs="Arial"/>
          <w:sz w:val="20"/>
          <w:szCs w:val="20"/>
        </w:rPr>
      </w:pPr>
      <w:r w:rsidRPr="00BA1B7B">
        <w:rPr>
          <w:rFonts w:ascii="Arial" w:hAnsi="Arial" w:cs="Arial"/>
          <w:sz w:val="20"/>
          <w:szCs w:val="20"/>
        </w:rPr>
        <w:t>(PSANZ and Stillbirth CRE, 2018)</w:t>
      </w:r>
    </w:p>
    <w:p w14:paraId="459C8AB7" w14:textId="25FBF652" w:rsidR="00603877" w:rsidRPr="00BA1B7B" w:rsidRDefault="00603877" w:rsidP="009F1AD6">
      <w:pPr>
        <w:widowControl w:val="0"/>
        <w:autoSpaceDE w:val="0"/>
        <w:autoSpaceDN w:val="0"/>
        <w:spacing w:before="99"/>
        <w:rPr>
          <w:rFonts w:ascii="Arial" w:eastAsia="Calibri" w:hAnsi="Arial" w:cs="Arial"/>
          <w:b/>
          <w:bCs/>
          <w:w w:val="105"/>
          <w:sz w:val="20"/>
          <w:szCs w:val="20"/>
          <w:lang w:val="en-US"/>
        </w:rPr>
      </w:pPr>
    </w:p>
    <w:p w14:paraId="21825930" w14:textId="60A63E36" w:rsidR="00603877" w:rsidRPr="00BA1B7B" w:rsidRDefault="009F1AD6" w:rsidP="00603877">
      <w:pPr>
        <w:widowControl w:val="0"/>
        <w:autoSpaceDE w:val="0"/>
        <w:autoSpaceDN w:val="0"/>
        <w:spacing w:before="69"/>
        <w:rPr>
          <w:rFonts w:ascii="Arial" w:eastAsia="Calibri" w:hAnsi="Arial" w:cs="Arial"/>
          <w:sz w:val="20"/>
          <w:szCs w:val="20"/>
          <w:lang w:val="en-US"/>
        </w:rPr>
      </w:pPr>
      <w:r w:rsidRPr="00BA1B7B">
        <w:rPr>
          <w:rFonts w:ascii="Arial" w:eastAsia="Calibri" w:hAnsi="Arial" w:cs="Arial"/>
          <w:b/>
          <w:bCs/>
          <w:w w:val="105"/>
          <w:sz w:val="20"/>
          <w:szCs w:val="20"/>
          <w:lang w:val="en-US"/>
        </w:rPr>
        <w:t>Table 1: Definition</w:t>
      </w:r>
      <w:r w:rsidR="00603877" w:rsidRPr="00BA1B7B">
        <w:rPr>
          <w:rFonts w:ascii="Arial" w:eastAsia="Calibri" w:hAnsi="Arial" w:cs="Arial"/>
          <w:b/>
          <w:bCs/>
          <w:w w:val="105"/>
          <w:sz w:val="20"/>
          <w:szCs w:val="20"/>
          <w:lang w:val="en-US"/>
        </w:rPr>
        <w:t xml:space="preserve"> </w:t>
      </w:r>
      <w:r w:rsidR="00096B39" w:rsidRPr="00BA1B7B">
        <w:rPr>
          <w:rFonts w:ascii="Arial" w:eastAsia="Calibri" w:hAnsi="Arial" w:cs="Arial"/>
          <w:b/>
          <w:bCs/>
          <w:w w:val="105"/>
          <w:sz w:val="20"/>
          <w:szCs w:val="20"/>
          <w:lang w:val="en-US"/>
        </w:rPr>
        <w:t>of FGR, SGA and Severe FGR</w:t>
      </w:r>
      <w:r w:rsidR="00603877" w:rsidRPr="00BA1B7B">
        <w:rPr>
          <w:rFonts w:ascii="Arial" w:eastAsia="Calibri" w:hAnsi="Arial" w:cs="Arial"/>
          <w:b/>
          <w:bCs/>
          <w:w w:val="105"/>
          <w:sz w:val="20"/>
          <w:szCs w:val="20"/>
          <w:lang w:val="en-US"/>
        </w:rPr>
        <w:t xml:space="preserve"> </w:t>
      </w:r>
      <w:r w:rsidR="00603877" w:rsidRPr="00BA1B7B">
        <w:rPr>
          <w:rFonts w:ascii="Arial" w:eastAsia="Calibri" w:hAnsi="Arial" w:cs="Arial"/>
          <w:sz w:val="20"/>
          <w:szCs w:val="20"/>
          <w:lang w:val="en-US"/>
        </w:rPr>
        <w:t>(PSANZ and Stillbirth CRE, 2018)</w:t>
      </w:r>
    </w:p>
    <w:p w14:paraId="20A43D96" w14:textId="77777777" w:rsidR="009F1AD6" w:rsidRPr="00BA1B7B" w:rsidRDefault="009F1AD6" w:rsidP="009F1AD6">
      <w:pPr>
        <w:widowControl w:val="0"/>
        <w:autoSpaceDE w:val="0"/>
        <w:autoSpaceDN w:val="0"/>
        <w:spacing w:before="99"/>
        <w:rPr>
          <w:rFonts w:ascii="Arial" w:eastAsia="Calibri" w:hAnsi="Arial" w:cs="Arial"/>
          <w:sz w:val="20"/>
          <w:szCs w:val="20"/>
          <w:lang w:val="en-US"/>
        </w:rPr>
      </w:pPr>
    </w:p>
    <w:tbl>
      <w:tblPr>
        <w:tblW w:w="9978" w:type="dxa"/>
        <w:tblLayout w:type="fixed"/>
        <w:tblCellMar>
          <w:left w:w="0" w:type="dxa"/>
          <w:right w:w="0" w:type="dxa"/>
        </w:tblCellMar>
        <w:tblLook w:val="01E0" w:firstRow="1" w:lastRow="1" w:firstColumn="1" w:lastColumn="1" w:noHBand="0" w:noVBand="0"/>
      </w:tblPr>
      <w:tblGrid>
        <w:gridCol w:w="3126"/>
        <w:gridCol w:w="6852"/>
      </w:tblGrid>
      <w:tr w:rsidR="009F1AD6" w:rsidRPr="00BA1B7B" w14:paraId="40BDF5D1" w14:textId="77777777" w:rsidTr="00D64801">
        <w:trPr>
          <w:trHeight w:val="966"/>
        </w:trPr>
        <w:tc>
          <w:tcPr>
            <w:tcW w:w="3126" w:type="dxa"/>
            <w:tcBorders>
              <w:top w:val="nil"/>
              <w:left w:val="nil"/>
              <w:bottom w:val="single" w:sz="8" w:space="0" w:color="FFFFFF"/>
              <w:right w:val="nil"/>
            </w:tcBorders>
            <w:shd w:val="clear" w:color="auto" w:fill="E6E7E8"/>
            <w:hideMark/>
          </w:tcPr>
          <w:p w14:paraId="57DB7157" w14:textId="77777777" w:rsidR="009F1AD6" w:rsidRPr="00BA1B7B" w:rsidRDefault="009F1AD6" w:rsidP="00D64801">
            <w:pPr>
              <w:widowControl w:val="0"/>
              <w:autoSpaceDE w:val="0"/>
              <w:autoSpaceDN w:val="0"/>
              <w:spacing w:before="99"/>
              <w:ind w:left="963"/>
              <w:rPr>
                <w:rFonts w:ascii="Arial" w:eastAsia="Calibri" w:hAnsi="Arial" w:cs="Arial"/>
                <w:b/>
                <w:sz w:val="20"/>
                <w:szCs w:val="20"/>
                <w:lang w:val="en-US"/>
              </w:rPr>
            </w:pPr>
            <w:r w:rsidRPr="00BA1B7B">
              <w:rPr>
                <w:rFonts w:ascii="Arial" w:eastAsia="Calibri" w:hAnsi="Arial" w:cs="Arial"/>
                <w:b/>
                <w:sz w:val="20"/>
                <w:szCs w:val="20"/>
                <w:lang w:val="en-US"/>
              </w:rPr>
              <w:t>Fetal Growth Restriction (FGR)</w:t>
            </w:r>
          </w:p>
        </w:tc>
        <w:tc>
          <w:tcPr>
            <w:tcW w:w="6852" w:type="dxa"/>
            <w:tcBorders>
              <w:top w:val="nil"/>
              <w:left w:val="nil"/>
              <w:bottom w:val="single" w:sz="8" w:space="0" w:color="FFFFFF"/>
              <w:right w:val="nil"/>
            </w:tcBorders>
            <w:shd w:val="clear" w:color="auto" w:fill="E6E7E8"/>
            <w:hideMark/>
          </w:tcPr>
          <w:p w14:paraId="18980C3F" w14:textId="77777777" w:rsidR="009F1AD6" w:rsidRPr="00BA1B7B" w:rsidRDefault="009F1AD6" w:rsidP="00D64801">
            <w:pPr>
              <w:widowControl w:val="0"/>
              <w:autoSpaceDE w:val="0"/>
              <w:autoSpaceDN w:val="0"/>
              <w:spacing w:before="99"/>
              <w:ind w:left="963"/>
              <w:rPr>
                <w:rFonts w:ascii="Arial" w:eastAsia="Calibri" w:hAnsi="Arial" w:cs="Arial"/>
                <w:sz w:val="20"/>
                <w:szCs w:val="20"/>
                <w:lang w:val="en-US"/>
              </w:rPr>
            </w:pPr>
            <w:r w:rsidRPr="00BA1B7B">
              <w:rPr>
                <w:rFonts w:ascii="Arial" w:eastAsia="Calibri" w:hAnsi="Arial" w:cs="Arial"/>
                <w:sz w:val="20"/>
                <w:szCs w:val="20"/>
                <w:lang w:val="en-US"/>
              </w:rPr>
              <w:t>A fetus that has not reached its growth potential.</w:t>
            </w:r>
          </w:p>
          <w:p w14:paraId="1C1A871C" w14:textId="77777777" w:rsidR="009F1AD6" w:rsidRPr="00BA1B7B" w:rsidRDefault="009F1AD6" w:rsidP="00D64801">
            <w:pPr>
              <w:widowControl w:val="0"/>
              <w:autoSpaceDE w:val="0"/>
              <w:autoSpaceDN w:val="0"/>
              <w:spacing w:before="99"/>
              <w:ind w:left="963"/>
              <w:rPr>
                <w:rFonts w:ascii="Arial" w:eastAsia="Calibri" w:hAnsi="Arial" w:cs="Arial"/>
                <w:sz w:val="20"/>
                <w:szCs w:val="20"/>
                <w:lang w:val="en-US"/>
              </w:rPr>
            </w:pPr>
            <w:r w:rsidRPr="00BA1B7B">
              <w:rPr>
                <w:rFonts w:ascii="Arial" w:eastAsia="Calibri" w:hAnsi="Arial" w:cs="Arial"/>
                <w:sz w:val="20"/>
                <w:szCs w:val="20"/>
                <w:lang w:val="en-US"/>
              </w:rPr>
              <w:t>In practice, small for gestational age (SGA) is used as a proxy for FGR</w:t>
            </w:r>
          </w:p>
        </w:tc>
      </w:tr>
      <w:tr w:rsidR="009F1AD6" w:rsidRPr="00BA1B7B" w14:paraId="02483CD6" w14:textId="77777777" w:rsidTr="00D64801">
        <w:trPr>
          <w:trHeight w:val="428"/>
        </w:trPr>
        <w:tc>
          <w:tcPr>
            <w:tcW w:w="3126" w:type="dxa"/>
            <w:tcBorders>
              <w:top w:val="single" w:sz="8" w:space="0" w:color="FFFFFF"/>
              <w:left w:val="nil"/>
              <w:bottom w:val="single" w:sz="8" w:space="0" w:color="FFFFFF"/>
              <w:right w:val="nil"/>
            </w:tcBorders>
            <w:shd w:val="clear" w:color="auto" w:fill="E6E7E8"/>
            <w:hideMark/>
          </w:tcPr>
          <w:p w14:paraId="528C390D" w14:textId="77777777" w:rsidR="009F1AD6" w:rsidRPr="00BA1B7B" w:rsidRDefault="009F1AD6" w:rsidP="00D64801">
            <w:pPr>
              <w:widowControl w:val="0"/>
              <w:autoSpaceDE w:val="0"/>
              <w:autoSpaceDN w:val="0"/>
              <w:spacing w:before="99"/>
              <w:ind w:left="963"/>
              <w:rPr>
                <w:rFonts w:ascii="Arial" w:eastAsia="Calibri" w:hAnsi="Arial" w:cs="Arial"/>
                <w:b/>
                <w:sz w:val="20"/>
                <w:szCs w:val="20"/>
                <w:lang w:val="en-US"/>
              </w:rPr>
            </w:pPr>
            <w:r w:rsidRPr="00BA1B7B">
              <w:rPr>
                <w:rFonts w:ascii="Arial" w:eastAsia="Calibri" w:hAnsi="Arial" w:cs="Arial"/>
                <w:b/>
                <w:sz w:val="20"/>
                <w:szCs w:val="20"/>
                <w:lang w:val="en-US"/>
              </w:rPr>
              <w:t>Small for gestational age (SGA)</w:t>
            </w:r>
          </w:p>
        </w:tc>
        <w:tc>
          <w:tcPr>
            <w:tcW w:w="6852" w:type="dxa"/>
            <w:tcBorders>
              <w:top w:val="single" w:sz="8" w:space="0" w:color="FFFFFF"/>
              <w:left w:val="nil"/>
              <w:bottom w:val="single" w:sz="8" w:space="0" w:color="FFFFFF"/>
              <w:right w:val="nil"/>
            </w:tcBorders>
            <w:shd w:val="clear" w:color="auto" w:fill="E6E7E8"/>
            <w:hideMark/>
          </w:tcPr>
          <w:p w14:paraId="687597AA" w14:textId="77777777" w:rsidR="009F1AD6" w:rsidRPr="00BA1B7B" w:rsidRDefault="009F1AD6" w:rsidP="00D64801">
            <w:pPr>
              <w:widowControl w:val="0"/>
              <w:autoSpaceDE w:val="0"/>
              <w:autoSpaceDN w:val="0"/>
              <w:spacing w:before="99"/>
              <w:ind w:left="963"/>
              <w:rPr>
                <w:rFonts w:ascii="Arial" w:eastAsia="Calibri" w:hAnsi="Arial" w:cs="Arial"/>
                <w:sz w:val="20"/>
                <w:szCs w:val="20"/>
                <w:lang w:val="en-US"/>
              </w:rPr>
            </w:pPr>
            <w:r w:rsidRPr="00BA1B7B">
              <w:rPr>
                <w:rFonts w:ascii="Arial" w:eastAsia="Calibri" w:hAnsi="Arial" w:cs="Arial"/>
                <w:sz w:val="20"/>
                <w:szCs w:val="20"/>
                <w:lang w:val="en-US"/>
              </w:rPr>
              <w:t>Estimated fetal weight/birthweight &lt;10th centile.</w:t>
            </w:r>
          </w:p>
        </w:tc>
      </w:tr>
      <w:tr w:rsidR="009F1AD6" w:rsidRPr="00BA1B7B" w14:paraId="4CBC4A1E" w14:textId="77777777" w:rsidTr="00D64801">
        <w:trPr>
          <w:trHeight w:val="438"/>
        </w:trPr>
        <w:tc>
          <w:tcPr>
            <w:tcW w:w="3126" w:type="dxa"/>
            <w:tcBorders>
              <w:top w:val="single" w:sz="8" w:space="0" w:color="FFFFFF"/>
              <w:left w:val="nil"/>
              <w:bottom w:val="nil"/>
              <w:right w:val="nil"/>
            </w:tcBorders>
            <w:shd w:val="clear" w:color="auto" w:fill="E6E7E8"/>
            <w:hideMark/>
          </w:tcPr>
          <w:p w14:paraId="28529CAF" w14:textId="77777777" w:rsidR="009F1AD6" w:rsidRPr="00BA1B7B" w:rsidRDefault="009F1AD6" w:rsidP="00D64801">
            <w:pPr>
              <w:widowControl w:val="0"/>
              <w:autoSpaceDE w:val="0"/>
              <w:autoSpaceDN w:val="0"/>
              <w:spacing w:before="99"/>
              <w:ind w:left="963"/>
              <w:rPr>
                <w:rFonts w:ascii="Arial" w:eastAsia="Calibri" w:hAnsi="Arial" w:cs="Arial"/>
                <w:b/>
                <w:sz w:val="20"/>
                <w:szCs w:val="20"/>
                <w:lang w:val="en-US"/>
              </w:rPr>
            </w:pPr>
            <w:r w:rsidRPr="00BA1B7B">
              <w:rPr>
                <w:rFonts w:ascii="Arial" w:eastAsia="Calibri" w:hAnsi="Arial" w:cs="Arial"/>
                <w:b/>
                <w:sz w:val="20"/>
                <w:szCs w:val="20"/>
                <w:lang w:val="en-US"/>
              </w:rPr>
              <w:t>Severe FGR</w:t>
            </w:r>
          </w:p>
        </w:tc>
        <w:tc>
          <w:tcPr>
            <w:tcW w:w="6852" w:type="dxa"/>
            <w:tcBorders>
              <w:top w:val="single" w:sz="8" w:space="0" w:color="FFFFFF"/>
              <w:left w:val="nil"/>
              <w:bottom w:val="nil"/>
              <w:right w:val="nil"/>
            </w:tcBorders>
            <w:shd w:val="clear" w:color="auto" w:fill="E6E7E8"/>
            <w:hideMark/>
          </w:tcPr>
          <w:p w14:paraId="0451AF3C" w14:textId="77777777" w:rsidR="009F1AD6" w:rsidRPr="00BA1B7B" w:rsidRDefault="009F1AD6" w:rsidP="00D64801">
            <w:pPr>
              <w:widowControl w:val="0"/>
              <w:autoSpaceDE w:val="0"/>
              <w:autoSpaceDN w:val="0"/>
              <w:spacing w:before="99"/>
              <w:ind w:left="963"/>
              <w:rPr>
                <w:rFonts w:ascii="Arial" w:eastAsia="Calibri" w:hAnsi="Arial" w:cs="Arial"/>
                <w:sz w:val="20"/>
                <w:szCs w:val="20"/>
                <w:lang w:val="en-US"/>
              </w:rPr>
            </w:pPr>
            <w:r w:rsidRPr="00BA1B7B">
              <w:rPr>
                <w:rFonts w:ascii="Arial" w:eastAsia="Calibri" w:hAnsi="Arial" w:cs="Arial"/>
                <w:sz w:val="20"/>
                <w:szCs w:val="20"/>
                <w:lang w:val="en-US"/>
              </w:rPr>
              <w:t>In practice, SGA &lt;3rd centile is used as a proxy for severe FGR</w:t>
            </w:r>
          </w:p>
        </w:tc>
      </w:tr>
    </w:tbl>
    <w:p w14:paraId="6E743903" w14:textId="2C69E68F" w:rsidR="00096B39" w:rsidRPr="00BA1B7B" w:rsidRDefault="00096B39" w:rsidP="00096B39">
      <w:pPr>
        <w:widowControl w:val="0"/>
        <w:autoSpaceDE w:val="0"/>
        <w:autoSpaceDN w:val="0"/>
        <w:spacing w:before="99"/>
        <w:rPr>
          <w:rFonts w:ascii="Arial" w:eastAsia="Calibri" w:hAnsi="Arial" w:cs="Arial"/>
          <w:sz w:val="20"/>
          <w:szCs w:val="20"/>
          <w:lang w:val="en-US"/>
        </w:rPr>
      </w:pPr>
      <w:r w:rsidRPr="00BA1B7B">
        <w:rPr>
          <w:rFonts w:ascii="Arial" w:eastAsia="Calibri" w:hAnsi="Arial" w:cs="Arial"/>
          <w:sz w:val="20"/>
          <w:szCs w:val="20"/>
          <w:lang w:val="en-US"/>
        </w:rPr>
        <w:t>Source: (PSANZ and Stillbirth CRE, 2018)</w:t>
      </w:r>
    </w:p>
    <w:p w14:paraId="75BEB770" w14:textId="77777777" w:rsidR="00096B39" w:rsidRPr="00BA1B7B" w:rsidRDefault="00096B39" w:rsidP="00096B39">
      <w:pPr>
        <w:widowControl w:val="0"/>
        <w:autoSpaceDE w:val="0"/>
        <w:autoSpaceDN w:val="0"/>
        <w:spacing w:before="99"/>
        <w:rPr>
          <w:rFonts w:ascii="Arial" w:eastAsia="Calibri" w:hAnsi="Arial" w:cs="Arial"/>
          <w:sz w:val="20"/>
          <w:szCs w:val="20"/>
          <w:lang w:val="en-US"/>
        </w:rPr>
      </w:pPr>
    </w:p>
    <w:p w14:paraId="14885422" w14:textId="3CE09591" w:rsidR="009F1AD6" w:rsidRPr="00BA1B7B" w:rsidRDefault="00096B39" w:rsidP="00096B39">
      <w:pPr>
        <w:rPr>
          <w:rFonts w:ascii="Arial" w:eastAsia="Calibri" w:hAnsi="Arial" w:cs="Arial"/>
          <w:sz w:val="20"/>
          <w:szCs w:val="20"/>
          <w:lang w:val="en-US"/>
        </w:rPr>
      </w:pPr>
      <w:r w:rsidRPr="00BA1B7B">
        <w:rPr>
          <w:rFonts w:ascii="Arial" w:eastAsia="Calibri" w:hAnsi="Arial" w:cs="Arial"/>
          <w:b/>
          <w:bCs/>
          <w:w w:val="105"/>
          <w:sz w:val="20"/>
          <w:szCs w:val="20"/>
          <w:lang w:val="en-US"/>
        </w:rPr>
        <w:t>Table 2: Early vs late FGR</w:t>
      </w:r>
    </w:p>
    <w:p w14:paraId="7BBC194E" w14:textId="0C1CEF26" w:rsidR="00603877" w:rsidRPr="00BA1B7B" w:rsidRDefault="00603877" w:rsidP="00603877">
      <w:pPr>
        <w:widowControl w:val="0"/>
        <w:autoSpaceDE w:val="0"/>
        <w:autoSpaceDN w:val="0"/>
        <w:spacing w:before="6"/>
        <w:rPr>
          <w:rFonts w:ascii="Arial" w:eastAsia="Calibri" w:hAnsi="Arial" w:cs="Arial"/>
          <w:b/>
          <w:sz w:val="20"/>
          <w:szCs w:val="20"/>
          <w:lang w:val="en-US"/>
        </w:rPr>
      </w:pPr>
    </w:p>
    <w:tbl>
      <w:tblPr>
        <w:tblpPr w:leftFromText="180" w:rightFromText="180" w:vertAnchor="text" w:horzAnchor="margin" w:tblpY="58"/>
        <w:tblW w:w="9978" w:type="dxa"/>
        <w:tblLayout w:type="fixed"/>
        <w:tblCellMar>
          <w:left w:w="0" w:type="dxa"/>
          <w:right w:w="0" w:type="dxa"/>
        </w:tblCellMar>
        <w:tblLook w:val="01E0" w:firstRow="1" w:lastRow="1" w:firstColumn="1" w:lastColumn="1" w:noHBand="0" w:noVBand="0"/>
      </w:tblPr>
      <w:tblGrid>
        <w:gridCol w:w="2719"/>
        <w:gridCol w:w="3841"/>
        <w:gridCol w:w="3418"/>
      </w:tblGrid>
      <w:tr w:rsidR="00096B39" w:rsidRPr="00BA1B7B" w14:paraId="61810D55" w14:textId="77777777" w:rsidTr="00096B39">
        <w:trPr>
          <w:trHeight w:val="381"/>
        </w:trPr>
        <w:tc>
          <w:tcPr>
            <w:tcW w:w="6560" w:type="dxa"/>
            <w:gridSpan w:val="2"/>
            <w:tcBorders>
              <w:top w:val="nil"/>
              <w:left w:val="nil"/>
              <w:bottom w:val="single" w:sz="8" w:space="0" w:color="FFFFFF"/>
              <w:right w:val="nil"/>
            </w:tcBorders>
            <w:shd w:val="clear" w:color="auto" w:fill="A7A9AC"/>
            <w:hideMark/>
          </w:tcPr>
          <w:p w14:paraId="19C6F2C3" w14:textId="77777777" w:rsidR="00096B39" w:rsidRPr="00BA1B7B" w:rsidRDefault="00096B39" w:rsidP="00096B39">
            <w:pPr>
              <w:widowControl w:val="0"/>
              <w:autoSpaceDE w:val="0"/>
              <w:autoSpaceDN w:val="0"/>
              <w:spacing w:before="69"/>
              <w:ind w:left="3062" w:right="2590"/>
              <w:jc w:val="center"/>
              <w:rPr>
                <w:rFonts w:ascii="Arial" w:eastAsia="Calibri" w:hAnsi="Arial" w:cs="Arial"/>
                <w:b/>
                <w:sz w:val="20"/>
                <w:szCs w:val="20"/>
                <w:lang w:val="en-US"/>
              </w:rPr>
            </w:pPr>
            <w:r w:rsidRPr="00BA1B7B">
              <w:rPr>
                <w:rFonts w:ascii="Arial" w:eastAsia="Calibri" w:hAnsi="Arial" w:cs="Arial"/>
                <w:b/>
                <w:sz w:val="20"/>
                <w:szCs w:val="20"/>
                <w:lang w:val="en-US"/>
              </w:rPr>
              <w:t>Early FGR</w:t>
            </w:r>
          </w:p>
        </w:tc>
        <w:tc>
          <w:tcPr>
            <w:tcW w:w="3418" w:type="dxa"/>
            <w:tcBorders>
              <w:top w:val="nil"/>
              <w:left w:val="nil"/>
              <w:bottom w:val="single" w:sz="8" w:space="0" w:color="FFFFFF"/>
              <w:right w:val="nil"/>
            </w:tcBorders>
            <w:shd w:val="clear" w:color="auto" w:fill="A7A9AC"/>
            <w:hideMark/>
          </w:tcPr>
          <w:p w14:paraId="005BEC33" w14:textId="77777777" w:rsidR="00096B39" w:rsidRPr="00BA1B7B" w:rsidRDefault="00096B39" w:rsidP="00096B39">
            <w:pPr>
              <w:widowControl w:val="0"/>
              <w:autoSpaceDE w:val="0"/>
              <w:autoSpaceDN w:val="0"/>
              <w:spacing w:before="69"/>
              <w:ind w:left="341"/>
              <w:rPr>
                <w:rFonts w:ascii="Arial" w:eastAsia="Calibri" w:hAnsi="Arial" w:cs="Arial"/>
                <w:b/>
                <w:sz w:val="20"/>
                <w:szCs w:val="20"/>
                <w:lang w:val="en-US"/>
              </w:rPr>
            </w:pPr>
            <w:r w:rsidRPr="00BA1B7B">
              <w:rPr>
                <w:rFonts w:ascii="Arial" w:eastAsia="Calibri" w:hAnsi="Arial" w:cs="Arial"/>
                <w:b/>
                <w:sz w:val="20"/>
                <w:szCs w:val="20"/>
                <w:lang w:val="en-US"/>
              </w:rPr>
              <w:t>Late FGR</w:t>
            </w:r>
          </w:p>
        </w:tc>
      </w:tr>
      <w:tr w:rsidR="00096B39" w:rsidRPr="00BA1B7B" w14:paraId="294695AF" w14:textId="77777777" w:rsidTr="00096B39">
        <w:trPr>
          <w:trHeight w:val="428"/>
        </w:trPr>
        <w:tc>
          <w:tcPr>
            <w:tcW w:w="2719" w:type="dxa"/>
            <w:tcBorders>
              <w:top w:val="single" w:sz="8" w:space="0" w:color="FFFFFF"/>
              <w:left w:val="nil"/>
              <w:bottom w:val="single" w:sz="8" w:space="0" w:color="FFFFFF"/>
              <w:right w:val="nil"/>
            </w:tcBorders>
            <w:shd w:val="clear" w:color="auto" w:fill="E6E7E8"/>
            <w:hideMark/>
          </w:tcPr>
          <w:p w14:paraId="2EE9678C" w14:textId="77777777" w:rsidR="00096B39" w:rsidRPr="00BA1B7B" w:rsidRDefault="00096B39" w:rsidP="00096B39">
            <w:pPr>
              <w:widowControl w:val="0"/>
              <w:autoSpaceDE w:val="0"/>
              <w:autoSpaceDN w:val="0"/>
              <w:spacing w:before="59"/>
              <w:ind w:left="80"/>
              <w:rPr>
                <w:rFonts w:ascii="Arial" w:eastAsia="Calibri" w:hAnsi="Arial" w:cs="Arial"/>
                <w:sz w:val="20"/>
                <w:szCs w:val="20"/>
                <w:lang w:val="en-US"/>
              </w:rPr>
            </w:pPr>
            <w:r w:rsidRPr="00BA1B7B">
              <w:rPr>
                <w:rFonts w:ascii="Arial" w:eastAsia="Calibri" w:hAnsi="Arial" w:cs="Arial"/>
                <w:sz w:val="20"/>
                <w:szCs w:val="20"/>
                <w:lang w:val="en-US"/>
              </w:rPr>
              <w:lastRenderedPageBreak/>
              <w:t>Gestation</w:t>
            </w:r>
          </w:p>
        </w:tc>
        <w:tc>
          <w:tcPr>
            <w:tcW w:w="3841" w:type="dxa"/>
            <w:tcBorders>
              <w:top w:val="single" w:sz="8" w:space="0" w:color="FFFFFF"/>
              <w:left w:val="nil"/>
              <w:bottom w:val="single" w:sz="8" w:space="0" w:color="FFFFFF"/>
              <w:right w:val="nil"/>
            </w:tcBorders>
            <w:shd w:val="clear" w:color="auto" w:fill="E6E7E8"/>
            <w:hideMark/>
          </w:tcPr>
          <w:p w14:paraId="4B363CC7" w14:textId="77777777" w:rsidR="00096B39" w:rsidRPr="00BA1B7B" w:rsidRDefault="00096B39" w:rsidP="00096B39">
            <w:pPr>
              <w:widowControl w:val="0"/>
              <w:autoSpaceDE w:val="0"/>
              <w:autoSpaceDN w:val="0"/>
              <w:spacing w:before="59"/>
              <w:ind w:left="365"/>
              <w:rPr>
                <w:rFonts w:ascii="Arial" w:eastAsia="Calibri" w:hAnsi="Arial" w:cs="Arial"/>
                <w:sz w:val="20"/>
                <w:szCs w:val="20"/>
                <w:lang w:val="en-US"/>
              </w:rPr>
            </w:pPr>
            <w:r w:rsidRPr="00BA1B7B">
              <w:rPr>
                <w:rFonts w:ascii="Arial" w:eastAsia="Calibri" w:hAnsi="Arial" w:cs="Arial"/>
                <w:sz w:val="20"/>
                <w:szCs w:val="20"/>
                <w:lang w:val="en-US"/>
              </w:rPr>
              <w:t>&lt; 32 weeks</w:t>
            </w:r>
          </w:p>
        </w:tc>
        <w:tc>
          <w:tcPr>
            <w:tcW w:w="3418" w:type="dxa"/>
            <w:tcBorders>
              <w:top w:val="single" w:sz="8" w:space="0" w:color="FFFFFF"/>
              <w:left w:val="nil"/>
              <w:bottom w:val="single" w:sz="8" w:space="0" w:color="FFFFFF"/>
              <w:right w:val="nil"/>
            </w:tcBorders>
            <w:shd w:val="clear" w:color="auto" w:fill="E6E7E8"/>
            <w:hideMark/>
          </w:tcPr>
          <w:p w14:paraId="7AC66CBD" w14:textId="77777777" w:rsidR="00096B39" w:rsidRPr="00BA1B7B" w:rsidRDefault="00096B39" w:rsidP="00096B39">
            <w:pPr>
              <w:widowControl w:val="0"/>
              <w:autoSpaceDE w:val="0"/>
              <w:autoSpaceDN w:val="0"/>
              <w:spacing w:before="59"/>
              <w:ind w:left="341"/>
              <w:rPr>
                <w:rFonts w:ascii="Arial" w:eastAsia="Calibri" w:hAnsi="Arial" w:cs="Arial"/>
                <w:sz w:val="20"/>
                <w:szCs w:val="20"/>
                <w:lang w:val="en-US"/>
              </w:rPr>
            </w:pPr>
            <w:r w:rsidRPr="00BA1B7B">
              <w:rPr>
                <w:rFonts w:ascii="Arial" w:eastAsia="Calibri" w:hAnsi="Arial" w:cs="Arial"/>
                <w:sz w:val="20"/>
                <w:szCs w:val="20"/>
                <w:lang w:val="en-US"/>
              </w:rPr>
              <w:t>≥ 32 weeks</w:t>
            </w:r>
          </w:p>
        </w:tc>
      </w:tr>
      <w:tr w:rsidR="00096B39" w:rsidRPr="00BA1B7B" w14:paraId="1A4F0B2F" w14:textId="77777777" w:rsidTr="00096B39">
        <w:trPr>
          <w:trHeight w:val="428"/>
        </w:trPr>
        <w:tc>
          <w:tcPr>
            <w:tcW w:w="2719" w:type="dxa"/>
            <w:tcBorders>
              <w:top w:val="single" w:sz="8" w:space="0" w:color="FFFFFF"/>
              <w:left w:val="nil"/>
              <w:bottom w:val="single" w:sz="8" w:space="0" w:color="FFFFFF"/>
              <w:right w:val="nil"/>
            </w:tcBorders>
            <w:shd w:val="clear" w:color="auto" w:fill="E6E7E8"/>
            <w:hideMark/>
          </w:tcPr>
          <w:p w14:paraId="13E91A57" w14:textId="77777777" w:rsidR="00096B39" w:rsidRPr="00BA1B7B" w:rsidRDefault="00096B39" w:rsidP="00096B39">
            <w:pPr>
              <w:widowControl w:val="0"/>
              <w:autoSpaceDE w:val="0"/>
              <w:autoSpaceDN w:val="0"/>
              <w:spacing w:before="59"/>
              <w:ind w:left="80"/>
              <w:rPr>
                <w:rFonts w:ascii="Arial" w:eastAsia="Calibri" w:hAnsi="Arial" w:cs="Arial"/>
                <w:sz w:val="20"/>
                <w:szCs w:val="20"/>
                <w:lang w:val="en-US"/>
              </w:rPr>
            </w:pPr>
            <w:r w:rsidRPr="00BA1B7B">
              <w:rPr>
                <w:rFonts w:ascii="Arial" w:eastAsia="Calibri" w:hAnsi="Arial" w:cs="Arial"/>
                <w:sz w:val="20"/>
                <w:szCs w:val="20"/>
                <w:lang w:val="en-US"/>
              </w:rPr>
              <w:t>Prevalence</w:t>
            </w:r>
          </w:p>
        </w:tc>
        <w:tc>
          <w:tcPr>
            <w:tcW w:w="3841" w:type="dxa"/>
            <w:tcBorders>
              <w:top w:val="single" w:sz="8" w:space="0" w:color="FFFFFF"/>
              <w:left w:val="nil"/>
              <w:bottom w:val="single" w:sz="8" w:space="0" w:color="FFFFFF"/>
              <w:right w:val="nil"/>
            </w:tcBorders>
            <w:shd w:val="clear" w:color="auto" w:fill="E6E7E8"/>
            <w:hideMark/>
          </w:tcPr>
          <w:p w14:paraId="70A4452F" w14:textId="77777777" w:rsidR="00096B39" w:rsidRPr="00BA1B7B" w:rsidRDefault="00096B39" w:rsidP="00096B39">
            <w:pPr>
              <w:widowControl w:val="0"/>
              <w:autoSpaceDE w:val="0"/>
              <w:autoSpaceDN w:val="0"/>
              <w:spacing w:before="59"/>
              <w:ind w:left="365"/>
              <w:rPr>
                <w:rFonts w:ascii="Arial" w:eastAsia="Calibri" w:hAnsi="Arial" w:cs="Arial"/>
                <w:sz w:val="20"/>
                <w:szCs w:val="20"/>
                <w:lang w:val="en-US"/>
              </w:rPr>
            </w:pPr>
            <w:r w:rsidRPr="00BA1B7B">
              <w:rPr>
                <w:rFonts w:ascii="Arial" w:eastAsia="Calibri" w:hAnsi="Arial" w:cs="Arial"/>
                <w:sz w:val="20"/>
                <w:szCs w:val="20"/>
                <w:lang w:val="en-US"/>
              </w:rPr>
              <w:t>0.5 - 1%</w:t>
            </w:r>
          </w:p>
        </w:tc>
        <w:tc>
          <w:tcPr>
            <w:tcW w:w="3418" w:type="dxa"/>
            <w:tcBorders>
              <w:top w:val="single" w:sz="8" w:space="0" w:color="FFFFFF"/>
              <w:left w:val="nil"/>
              <w:bottom w:val="single" w:sz="8" w:space="0" w:color="FFFFFF"/>
              <w:right w:val="nil"/>
            </w:tcBorders>
            <w:shd w:val="clear" w:color="auto" w:fill="E6E7E8"/>
            <w:hideMark/>
          </w:tcPr>
          <w:p w14:paraId="68FF0426" w14:textId="77777777" w:rsidR="00096B39" w:rsidRPr="00BA1B7B" w:rsidRDefault="00096B39" w:rsidP="00096B39">
            <w:pPr>
              <w:widowControl w:val="0"/>
              <w:autoSpaceDE w:val="0"/>
              <w:autoSpaceDN w:val="0"/>
              <w:spacing w:before="59"/>
              <w:ind w:left="341"/>
              <w:rPr>
                <w:rFonts w:ascii="Arial" w:eastAsia="Calibri" w:hAnsi="Arial" w:cs="Arial"/>
                <w:sz w:val="20"/>
                <w:szCs w:val="20"/>
                <w:lang w:val="en-US"/>
              </w:rPr>
            </w:pPr>
            <w:r w:rsidRPr="00BA1B7B">
              <w:rPr>
                <w:rFonts w:ascii="Arial" w:eastAsia="Calibri" w:hAnsi="Arial" w:cs="Arial"/>
                <w:sz w:val="20"/>
                <w:szCs w:val="20"/>
                <w:lang w:val="en-US"/>
              </w:rPr>
              <w:t>5 - 10%</w:t>
            </w:r>
          </w:p>
        </w:tc>
      </w:tr>
      <w:tr w:rsidR="00096B39" w:rsidRPr="00BA1B7B" w14:paraId="1F8FF63C" w14:textId="77777777" w:rsidTr="00096B39">
        <w:trPr>
          <w:trHeight w:val="428"/>
        </w:trPr>
        <w:tc>
          <w:tcPr>
            <w:tcW w:w="2719" w:type="dxa"/>
            <w:tcBorders>
              <w:top w:val="single" w:sz="8" w:space="0" w:color="FFFFFF"/>
              <w:left w:val="nil"/>
              <w:bottom w:val="single" w:sz="8" w:space="0" w:color="FFFFFF"/>
              <w:right w:val="nil"/>
            </w:tcBorders>
            <w:shd w:val="clear" w:color="auto" w:fill="E6E7E8"/>
            <w:hideMark/>
          </w:tcPr>
          <w:p w14:paraId="656CDAB2" w14:textId="77777777" w:rsidR="00096B39" w:rsidRPr="00BA1B7B" w:rsidRDefault="00096B39" w:rsidP="00096B39">
            <w:pPr>
              <w:widowControl w:val="0"/>
              <w:autoSpaceDE w:val="0"/>
              <w:autoSpaceDN w:val="0"/>
              <w:spacing w:before="58"/>
              <w:ind w:left="80"/>
              <w:rPr>
                <w:rFonts w:ascii="Arial" w:eastAsia="Calibri" w:hAnsi="Arial" w:cs="Arial"/>
                <w:sz w:val="20"/>
                <w:szCs w:val="20"/>
                <w:lang w:val="en-US"/>
              </w:rPr>
            </w:pPr>
            <w:r w:rsidRPr="00BA1B7B">
              <w:rPr>
                <w:rFonts w:ascii="Arial" w:eastAsia="Calibri" w:hAnsi="Arial" w:cs="Arial"/>
                <w:sz w:val="20"/>
                <w:szCs w:val="20"/>
                <w:lang w:val="en-US"/>
              </w:rPr>
              <w:t>Pre-eclampsia</w:t>
            </w:r>
          </w:p>
        </w:tc>
        <w:tc>
          <w:tcPr>
            <w:tcW w:w="3841" w:type="dxa"/>
            <w:tcBorders>
              <w:top w:val="single" w:sz="8" w:space="0" w:color="FFFFFF"/>
              <w:left w:val="nil"/>
              <w:bottom w:val="single" w:sz="8" w:space="0" w:color="FFFFFF"/>
              <w:right w:val="nil"/>
            </w:tcBorders>
            <w:shd w:val="clear" w:color="auto" w:fill="E6E7E8"/>
            <w:hideMark/>
          </w:tcPr>
          <w:p w14:paraId="1C0EC997" w14:textId="77777777" w:rsidR="00096B39" w:rsidRPr="00BA1B7B" w:rsidRDefault="00096B39" w:rsidP="00096B39">
            <w:pPr>
              <w:widowControl w:val="0"/>
              <w:autoSpaceDE w:val="0"/>
              <w:autoSpaceDN w:val="0"/>
              <w:spacing w:before="58"/>
              <w:ind w:left="365"/>
              <w:rPr>
                <w:rFonts w:ascii="Arial" w:eastAsia="Calibri" w:hAnsi="Arial" w:cs="Arial"/>
                <w:sz w:val="20"/>
                <w:szCs w:val="20"/>
                <w:lang w:val="en-US"/>
              </w:rPr>
            </w:pPr>
            <w:r w:rsidRPr="00BA1B7B">
              <w:rPr>
                <w:rFonts w:ascii="Arial" w:eastAsia="Calibri" w:hAnsi="Arial" w:cs="Arial"/>
                <w:sz w:val="20"/>
                <w:szCs w:val="20"/>
                <w:lang w:val="en-US"/>
              </w:rPr>
              <w:t>Strong association</w:t>
            </w:r>
          </w:p>
        </w:tc>
        <w:tc>
          <w:tcPr>
            <w:tcW w:w="3418" w:type="dxa"/>
            <w:tcBorders>
              <w:top w:val="single" w:sz="8" w:space="0" w:color="FFFFFF"/>
              <w:left w:val="nil"/>
              <w:bottom w:val="single" w:sz="8" w:space="0" w:color="FFFFFF"/>
              <w:right w:val="nil"/>
            </w:tcBorders>
            <w:shd w:val="clear" w:color="auto" w:fill="E6E7E8"/>
            <w:hideMark/>
          </w:tcPr>
          <w:p w14:paraId="7E58610C" w14:textId="77777777" w:rsidR="00096B39" w:rsidRPr="00BA1B7B" w:rsidRDefault="00096B39" w:rsidP="00096B39">
            <w:pPr>
              <w:widowControl w:val="0"/>
              <w:autoSpaceDE w:val="0"/>
              <w:autoSpaceDN w:val="0"/>
              <w:spacing w:before="58"/>
              <w:ind w:left="341"/>
              <w:rPr>
                <w:rFonts w:ascii="Arial" w:eastAsia="Calibri" w:hAnsi="Arial" w:cs="Arial"/>
                <w:sz w:val="20"/>
                <w:szCs w:val="20"/>
                <w:lang w:val="en-US"/>
              </w:rPr>
            </w:pPr>
            <w:r w:rsidRPr="00BA1B7B">
              <w:rPr>
                <w:rFonts w:ascii="Arial" w:eastAsia="Calibri" w:hAnsi="Arial" w:cs="Arial"/>
                <w:sz w:val="20"/>
                <w:szCs w:val="20"/>
                <w:lang w:val="en-US"/>
              </w:rPr>
              <w:t>Weak association</w:t>
            </w:r>
          </w:p>
        </w:tc>
      </w:tr>
      <w:tr w:rsidR="00096B39" w:rsidRPr="00BA1B7B" w14:paraId="27F85044" w14:textId="77777777" w:rsidTr="00096B39">
        <w:trPr>
          <w:trHeight w:val="428"/>
        </w:trPr>
        <w:tc>
          <w:tcPr>
            <w:tcW w:w="2719" w:type="dxa"/>
            <w:tcBorders>
              <w:top w:val="single" w:sz="8" w:space="0" w:color="FFFFFF"/>
              <w:left w:val="nil"/>
              <w:bottom w:val="single" w:sz="8" w:space="0" w:color="FFFFFF"/>
              <w:right w:val="nil"/>
            </w:tcBorders>
            <w:shd w:val="clear" w:color="auto" w:fill="E6E7E8"/>
            <w:hideMark/>
          </w:tcPr>
          <w:p w14:paraId="70E60C6C" w14:textId="77777777" w:rsidR="00096B39" w:rsidRPr="00BA1B7B" w:rsidRDefault="00096B39" w:rsidP="00096B39">
            <w:pPr>
              <w:widowControl w:val="0"/>
              <w:autoSpaceDE w:val="0"/>
              <w:autoSpaceDN w:val="0"/>
              <w:spacing w:before="58"/>
              <w:ind w:left="80"/>
              <w:rPr>
                <w:rFonts w:ascii="Arial" w:eastAsia="Calibri" w:hAnsi="Arial" w:cs="Arial"/>
                <w:sz w:val="20"/>
                <w:szCs w:val="20"/>
                <w:lang w:val="en-US"/>
              </w:rPr>
            </w:pPr>
            <w:r w:rsidRPr="00BA1B7B">
              <w:rPr>
                <w:rFonts w:ascii="Arial" w:eastAsia="Calibri" w:hAnsi="Arial" w:cs="Arial"/>
                <w:sz w:val="20"/>
                <w:szCs w:val="20"/>
                <w:lang w:val="en-US"/>
              </w:rPr>
              <w:t>Placental pathology</w:t>
            </w:r>
          </w:p>
        </w:tc>
        <w:tc>
          <w:tcPr>
            <w:tcW w:w="3841" w:type="dxa"/>
            <w:tcBorders>
              <w:top w:val="single" w:sz="8" w:space="0" w:color="FFFFFF"/>
              <w:left w:val="nil"/>
              <w:bottom w:val="single" w:sz="8" w:space="0" w:color="FFFFFF"/>
              <w:right w:val="nil"/>
            </w:tcBorders>
            <w:shd w:val="clear" w:color="auto" w:fill="E6E7E8"/>
            <w:hideMark/>
          </w:tcPr>
          <w:p w14:paraId="44778704" w14:textId="77777777" w:rsidR="00096B39" w:rsidRPr="00BA1B7B" w:rsidRDefault="00096B39" w:rsidP="00096B39">
            <w:pPr>
              <w:widowControl w:val="0"/>
              <w:autoSpaceDE w:val="0"/>
              <w:autoSpaceDN w:val="0"/>
              <w:spacing w:before="58"/>
              <w:ind w:left="365"/>
              <w:rPr>
                <w:rFonts w:ascii="Arial" w:eastAsia="Calibri" w:hAnsi="Arial" w:cs="Arial"/>
                <w:sz w:val="20"/>
                <w:szCs w:val="20"/>
                <w:lang w:val="en-US"/>
              </w:rPr>
            </w:pPr>
            <w:r w:rsidRPr="00BA1B7B">
              <w:rPr>
                <w:rFonts w:ascii="Arial" w:eastAsia="Calibri" w:hAnsi="Arial" w:cs="Arial"/>
                <w:sz w:val="20"/>
                <w:szCs w:val="20"/>
                <w:lang w:val="en-US"/>
              </w:rPr>
              <w:t>Strong association</w:t>
            </w:r>
          </w:p>
        </w:tc>
        <w:tc>
          <w:tcPr>
            <w:tcW w:w="3418" w:type="dxa"/>
            <w:tcBorders>
              <w:top w:val="single" w:sz="8" w:space="0" w:color="FFFFFF"/>
              <w:left w:val="nil"/>
              <w:bottom w:val="single" w:sz="8" w:space="0" w:color="FFFFFF"/>
              <w:right w:val="nil"/>
            </w:tcBorders>
            <w:shd w:val="clear" w:color="auto" w:fill="E6E7E8"/>
            <w:hideMark/>
          </w:tcPr>
          <w:p w14:paraId="388380FE" w14:textId="77777777" w:rsidR="00096B39" w:rsidRPr="00BA1B7B" w:rsidRDefault="00096B39" w:rsidP="00096B39">
            <w:pPr>
              <w:widowControl w:val="0"/>
              <w:autoSpaceDE w:val="0"/>
              <w:autoSpaceDN w:val="0"/>
              <w:spacing w:before="58"/>
              <w:ind w:left="341"/>
              <w:rPr>
                <w:rFonts w:ascii="Arial" w:eastAsia="Calibri" w:hAnsi="Arial" w:cs="Arial"/>
                <w:sz w:val="20"/>
                <w:szCs w:val="20"/>
                <w:lang w:val="en-US"/>
              </w:rPr>
            </w:pPr>
            <w:r w:rsidRPr="00BA1B7B">
              <w:rPr>
                <w:rFonts w:ascii="Arial" w:eastAsia="Calibri" w:hAnsi="Arial" w:cs="Arial"/>
                <w:sz w:val="20"/>
                <w:szCs w:val="20"/>
                <w:lang w:val="en-US"/>
              </w:rPr>
              <w:t>Weak association</w:t>
            </w:r>
          </w:p>
        </w:tc>
      </w:tr>
      <w:tr w:rsidR="00096B39" w:rsidRPr="00BA1B7B" w14:paraId="50325D12" w14:textId="77777777" w:rsidTr="00096B39">
        <w:trPr>
          <w:trHeight w:val="428"/>
        </w:trPr>
        <w:tc>
          <w:tcPr>
            <w:tcW w:w="2719" w:type="dxa"/>
            <w:tcBorders>
              <w:top w:val="single" w:sz="8" w:space="0" w:color="FFFFFF"/>
              <w:left w:val="nil"/>
              <w:bottom w:val="single" w:sz="8" w:space="0" w:color="FFFFFF"/>
              <w:right w:val="nil"/>
            </w:tcBorders>
            <w:shd w:val="clear" w:color="auto" w:fill="E6E7E8"/>
            <w:hideMark/>
          </w:tcPr>
          <w:p w14:paraId="7C2BF8D2" w14:textId="77777777" w:rsidR="00096B39" w:rsidRPr="00BA1B7B" w:rsidRDefault="00096B39" w:rsidP="00096B39">
            <w:pPr>
              <w:widowControl w:val="0"/>
              <w:autoSpaceDE w:val="0"/>
              <w:autoSpaceDN w:val="0"/>
              <w:spacing w:before="58"/>
              <w:ind w:left="80"/>
              <w:rPr>
                <w:rFonts w:ascii="Arial" w:eastAsia="Calibri" w:hAnsi="Arial" w:cs="Arial"/>
                <w:sz w:val="20"/>
                <w:szCs w:val="20"/>
                <w:lang w:val="en-US"/>
              </w:rPr>
            </w:pPr>
            <w:r w:rsidRPr="00BA1B7B">
              <w:rPr>
                <w:rFonts w:ascii="Arial" w:eastAsia="Calibri" w:hAnsi="Arial" w:cs="Arial"/>
                <w:sz w:val="20"/>
                <w:szCs w:val="20"/>
                <w:lang w:val="en-US"/>
              </w:rPr>
              <w:t>Relation to SGA</w:t>
            </w:r>
          </w:p>
        </w:tc>
        <w:tc>
          <w:tcPr>
            <w:tcW w:w="3841" w:type="dxa"/>
            <w:tcBorders>
              <w:top w:val="single" w:sz="8" w:space="0" w:color="FFFFFF"/>
              <w:left w:val="nil"/>
              <w:bottom w:val="single" w:sz="8" w:space="0" w:color="FFFFFF"/>
              <w:right w:val="nil"/>
            </w:tcBorders>
            <w:shd w:val="clear" w:color="auto" w:fill="E6E7E8"/>
            <w:hideMark/>
          </w:tcPr>
          <w:p w14:paraId="3DF5925D" w14:textId="77777777" w:rsidR="00096B39" w:rsidRPr="00BA1B7B" w:rsidRDefault="00096B39" w:rsidP="00096B39">
            <w:pPr>
              <w:widowControl w:val="0"/>
              <w:autoSpaceDE w:val="0"/>
              <w:autoSpaceDN w:val="0"/>
              <w:spacing w:before="59"/>
              <w:ind w:left="365"/>
              <w:rPr>
                <w:rFonts w:ascii="Arial" w:eastAsia="Calibri" w:hAnsi="Arial" w:cs="Arial"/>
                <w:sz w:val="20"/>
                <w:szCs w:val="20"/>
                <w:lang w:val="en-US"/>
              </w:rPr>
            </w:pPr>
            <w:r w:rsidRPr="00BA1B7B">
              <w:rPr>
                <w:rFonts w:ascii="Arial" w:eastAsia="Calibri" w:hAnsi="Arial" w:cs="Arial"/>
                <w:sz w:val="20"/>
                <w:szCs w:val="20"/>
                <w:lang w:val="en-US"/>
              </w:rPr>
              <w:t>Always SGA &lt;10</w:t>
            </w:r>
            <w:r w:rsidRPr="00BA1B7B">
              <w:rPr>
                <w:rFonts w:ascii="Arial" w:eastAsia="Calibri" w:hAnsi="Arial" w:cs="Arial"/>
                <w:position w:val="7"/>
                <w:sz w:val="20"/>
                <w:szCs w:val="20"/>
                <w:lang w:val="en-US"/>
              </w:rPr>
              <w:t xml:space="preserve">th </w:t>
            </w:r>
            <w:r w:rsidRPr="00BA1B7B">
              <w:rPr>
                <w:rFonts w:ascii="Arial" w:eastAsia="Calibri" w:hAnsi="Arial" w:cs="Arial"/>
                <w:sz w:val="20"/>
                <w:szCs w:val="20"/>
                <w:lang w:val="en-US"/>
              </w:rPr>
              <w:t>centile</w:t>
            </w:r>
          </w:p>
        </w:tc>
        <w:tc>
          <w:tcPr>
            <w:tcW w:w="3418" w:type="dxa"/>
            <w:tcBorders>
              <w:top w:val="single" w:sz="8" w:space="0" w:color="FFFFFF"/>
              <w:left w:val="nil"/>
              <w:bottom w:val="single" w:sz="8" w:space="0" w:color="FFFFFF"/>
              <w:right w:val="nil"/>
            </w:tcBorders>
            <w:shd w:val="clear" w:color="auto" w:fill="E6E7E8"/>
            <w:hideMark/>
          </w:tcPr>
          <w:p w14:paraId="10FCE037" w14:textId="77777777" w:rsidR="00096B39" w:rsidRPr="00BA1B7B" w:rsidRDefault="00096B39" w:rsidP="00096B39">
            <w:pPr>
              <w:widowControl w:val="0"/>
              <w:autoSpaceDE w:val="0"/>
              <w:autoSpaceDN w:val="0"/>
              <w:spacing w:before="59"/>
              <w:ind w:left="341"/>
              <w:rPr>
                <w:rFonts w:ascii="Arial" w:eastAsia="Calibri" w:hAnsi="Arial" w:cs="Arial"/>
                <w:sz w:val="20"/>
                <w:szCs w:val="20"/>
                <w:lang w:val="en-US"/>
              </w:rPr>
            </w:pPr>
            <w:r w:rsidRPr="00BA1B7B">
              <w:rPr>
                <w:rFonts w:ascii="Arial" w:eastAsia="Calibri" w:hAnsi="Arial" w:cs="Arial"/>
                <w:sz w:val="20"/>
                <w:szCs w:val="20"/>
                <w:lang w:val="en-US"/>
              </w:rPr>
              <w:t>Not always SGA</w:t>
            </w:r>
          </w:p>
        </w:tc>
      </w:tr>
      <w:tr w:rsidR="00096B39" w:rsidRPr="00BA1B7B" w14:paraId="3CB1486A" w14:textId="77777777" w:rsidTr="00096B39">
        <w:trPr>
          <w:trHeight w:val="443"/>
        </w:trPr>
        <w:tc>
          <w:tcPr>
            <w:tcW w:w="2719" w:type="dxa"/>
            <w:tcBorders>
              <w:top w:val="single" w:sz="8" w:space="0" w:color="FFFFFF"/>
              <w:left w:val="nil"/>
              <w:bottom w:val="single" w:sz="8" w:space="0" w:color="FFFFFF"/>
              <w:right w:val="nil"/>
            </w:tcBorders>
            <w:shd w:val="clear" w:color="auto" w:fill="E6E7E8"/>
            <w:hideMark/>
          </w:tcPr>
          <w:p w14:paraId="37295322" w14:textId="77777777" w:rsidR="00096B39" w:rsidRPr="00BA1B7B" w:rsidRDefault="00096B39" w:rsidP="00096B39">
            <w:pPr>
              <w:widowControl w:val="0"/>
              <w:autoSpaceDE w:val="0"/>
              <w:autoSpaceDN w:val="0"/>
              <w:spacing w:before="59"/>
              <w:ind w:left="79"/>
              <w:rPr>
                <w:rFonts w:ascii="Arial" w:eastAsia="Calibri" w:hAnsi="Arial" w:cs="Arial"/>
                <w:sz w:val="20"/>
                <w:szCs w:val="20"/>
                <w:lang w:val="en-US"/>
              </w:rPr>
            </w:pPr>
            <w:r w:rsidRPr="00BA1B7B">
              <w:rPr>
                <w:rFonts w:ascii="Arial" w:eastAsia="Calibri" w:hAnsi="Arial" w:cs="Arial"/>
                <w:sz w:val="20"/>
                <w:szCs w:val="20"/>
                <w:lang w:val="en-US"/>
              </w:rPr>
              <w:t>Umbilical artery Dopplers</w:t>
            </w:r>
          </w:p>
        </w:tc>
        <w:tc>
          <w:tcPr>
            <w:tcW w:w="3841" w:type="dxa"/>
            <w:tcBorders>
              <w:top w:val="single" w:sz="8" w:space="0" w:color="FFFFFF"/>
              <w:left w:val="nil"/>
              <w:bottom w:val="single" w:sz="8" w:space="0" w:color="FFFFFF"/>
              <w:right w:val="nil"/>
            </w:tcBorders>
            <w:shd w:val="clear" w:color="auto" w:fill="E6E7E8"/>
            <w:hideMark/>
          </w:tcPr>
          <w:p w14:paraId="4766FFCA" w14:textId="77777777" w:rsidR="00096B39" w:rsidRPr="00BA1B7B" w:rsidRDefault="00096B39" w:rsidP="00096B39">
            <w:pPr>
              <w:widowControl w:val="0"/>
              <w:autoSpaceDE w:val="0"/>
              <w:autoSpaceDN w:val="0"/>
              <w:spacing w:before="59"/>
              <w:ind w:left="366"/>
              <w:rPr>
                <w:rFonts w:ascii="Arial" w:eastAsia="Calibri" w:hAnsi="Arial" w:cs="Arial"/>
                <w:sz w:val="20"/>
                <w:szCs w:val="20"/>
                <w:lang w:val="en-US"/>
              </w:rPr>
            </w:pPr>
            <w:r w:rsidRPr="00BA1B7B">
              <w:rPr>
                <w:rFonts w:ascii="Arial" w:eastAsia="Calibri" w:hAnsi="Arial" w:cs="Arial"/>
                <w:sz w:val="20"/>
                <w:szCs w:val="20"/>
                <w:lang w:val="en-US"/>
              </w:rPr>
              <w:t>Abnormal</w:t>
            </w:r>
          </w:p>
        </w:tc>
        <w:tc>
          <w:tcPr>
            <w:tcW w:w="3418" w:type="dxa"/>
            <w:tcBorders>
              <w:top w:val="single" w:sz="8" w:space="0" w:color="FFFFFF"/>
              <w:left w:val="nil"/>
              <w:bottom w:val="single" w:sz="8" w:space="0" w:color="FFFFFF"/>
              <w:right w:val="nil"/>
            </w:tcBorders>
            <w:shd w:val="clear" w:color="auto" w:fill="E6E7E8"/>
            <w:hideMark/>
          </w:tcPr>
          <w:p w14:paraId="556FCA50" w14:textId="77777777" w:rsidR="00096B39" w:rsidRPr="00BA1B7B" w:rsidRDefault="00096B39" w:rsidP="00096B39">
            <w:pPr>
              <w:widowControl w:val="0"/>
              <w:autoSpaceDE w:val="0"/>
              <w:autoSpaceDN w:val="0"/>
              <w:spacing w:before="59"/>
              <w:ind w:left="341"/>
              <w:rPr>
                <w:rFonts w:ascii="Arial" w:eastAsia="Calibri" w:hAnsi="Arial" w:cs="Arial"/>
                <w:sz w:val="20"/>
                <w:szCs w:val="20"/>
                <w:lang w:val="en-US"/>
              </w:rPr>
            </w:pPr>
            <w:r w:rsidRPr="00BA1B7B">
              <w:rPr>
                <w:rFonts w:ascii="Arial" w:eastAsia="Calibri" w:hAnsi="Arial" w:cs="Arial"/>
                <w:sz w:val="20"/>
                <w:szCs w:val="20"/>
                <w:lang w:val="en-US"/>
              </w:rPr>
              <w:t>Normal or mildly abnormal</w:t>
            </w:r>
          </w:p>
        </w:tc>
      </w:tr>
      <w:tr w:rsidR="00096B39" w:rsidRPr="00BA1B7B" w14:paraId="0F56D9BF" w14:textId="77777777" w:rsidTr="00096B39">
        <w:trPr>
          <w:trHeight w:val="428"/>
        </w:trPr>
        <w:tc>
          <w:tcPr>
            <w:tcW w:w="2719" w:type="dxa"/>
            <w:tcBorders>
              <w:top w:val="single" w:sz="8" w:space="0" w:color="FFFFFF"/>
              <w:left w:val="nil"/>
              <w:bottom w:val="single" w:sz="8" w:space="0" w:color="FFFFFF"/>
              <w:right w:val="nil"/>
            </w:tcBorders>
            <w:shd w:val="clear" w:color="auto" w:fill="E6E7E8"/>
            <w:hideMark/>
          </w:tcPr>
          <w:p w14:paraId="7833CCD1" w14:textId="77777777" w:rsidR="00096B39" w:rsidRPr="00BA1B7B" w:rsidRDefault="00096B39" w:rsidP="00096B39">
            <w:pPr>
              <w:widowControl w:val="0"/>
              <w:autoSpaceDE w:val="0"/>
              <w:autoSpaceDN w:val="0"/>
              <w:spacing w:before="59"/>
              <w:ind w:left="79"/>
              <w:rPr>
                <w:rFonts w:ascii="Arial" w:eastAsia="Calibri" w:hAnsi="Arial" w:cs="Arial"/>
                <w:sz w:val="20"/>
                <w:szCs w:val="20"/>
                <w:lang w:val="en-US"/>
              </w:rPr>
            </w:pPr>
            <w:r w:rsidRPr="00BA1B7B">
              <w:rPr>
                <w:rFonts w:ascii="Arial" w:eastAsia="Calibri" w:hAnsi="Arial" w:cs="Arial"/>
                <w:sz w:val="20"/>
                <w:szCs w:val="20"/>
                <w:lang w:val="en-US"/>
              </w:rPr>
              <w:t>Detection</w:t>
            </w:r>
          </w:p>
        </w:tc>
        <w:tc>
          <w:tcPr>
            <w:tcW w:w="3841" w:type="dxa"/>
            <w:tcBorders>
              <w:top w:val="single" w:sz="8" w:space="0" w:color="FFFFFF"/>
              <w:left w:val="nil"/>
              <w:bottom w:val="single" w:sz="8" w:space="0" w:color="FFFFFF"/>
              <w:right w:val="nil"/>
            </w:tcBorders>
            <w:shd w:val="clear" w:color="auto" w:fill="E6E7E8"/>
            <w:hideMark/>
          </w:tcPr>
          <w:p w14:paraId="7645649C" w14:textId="77777777" w:rsidR="00096B39" w:rsidRPr="00BA1B7B" w:rsidRDefault="00096B39" w:rsidP="00096B39">
            <w:pPr>
              <w:widowControl w:val="0"/>
              <w:autoSpaceDE w:val="0"/>
              <w:autoSpaceDN w:val="0"/>
              <w:spacing w:before="59"/>
              <w:ind w:left="365"/>
              <w:rPr>
                <w:rFonts w:ascii="Arial" w:eastAsia="Calibri" w:hAnsi="Arial" w:cs="Arial"/>
                <w:sz w:val="20"/>
                <w:szCs w:val="20"/>
                <w:lang w:val="en-US"/>
              </w:rPr>
            </w:pPr>
            <w:r w:rsidRPr="00BA1B7B">
              <w:rPr>
                <w:rFonts w:ascii="Arial" w:eastAsia="Calibri" w:hAnsi="Arial" w:cs="Arial"/>
                <w:sz w:val="20"/>
                <w:szCs w:val="20"/>
                <w:lang w:val="en-US"/>
              </w:rPr>
              <w:t>Readily detectable</w:t>
            </w:r>
          </w:p>
        </w:tc>
        <w:tc>
          <w:tcPr>
            <w:tcW w:w="3418" w:type="dxa"/>
            <w:tcBorders>
              <w:top w:val="single" w:sz="8" w:space="0" w:color="FFFFFF"/>
              <w:left w:val="nil"/>
              <w:bottom w:val="single" w:sz="8" w:space="0" w:color="FFFFFF"/>
              <w:right w:val="nil"/>
            </w:tcBorders>
            <w:shd w:val="clear" w:color="auto" w:fill="E6E7E8"/>
            <w:hideMark/>
          </w:tcPr>
          <w:p w14:paraId="5F31AA15" w14:textId="77777777" w:rsidR="00096B39" w:rsidRPr="00BA1B7B" w:rsidRDefault="00096B39" w:rsidP="00096B39">
            <w:pPr>
              <w:widowControl w:val="0"/>
              <w:autoSpaceDE w:val="0"/>
              <w:autoSpaceDN w:val="0"/>
              <w:spacing w:before="59"/>
              <w:ind w:left="341"/>
              <w:rPr>
                <w:rFonts w:ascii="Arial" w:eastAsia="Calibri" w:hAnsi="Arial" w:cs="Arial"/>
                <w:sz w:val="20"/>
                <w:szCs w:val="20"/>
                <w:lang w:val="en-US"/>
              </w:rPr>
            </w:pPr>
            <w:r w:rsidRPr="00BA1B7B">
              <w:rPr>
                <w:rFonts w:ascii="Arial" w:eastAsia="Calibri" w:hAnsi="Arial" w:cs="Arial"/>
                <w:sz w:val="20"/>
                <w:szCs w:val="20"/>
                <w:lang w:val="en-US"/>
              </w:rPr>
              <w:t>Challenging to detect</w:t>
            </w:r>
          </w:p>
        </w:tc>
      </w:tr>
      <w:tr w:rsidR="00096B39" w:rsidRPr="00BA1B7B" w14:paraId="1C901D39" w14:textId="77777777" w:rsidTr="00096B39">
        <w:trPr>
          <w:trHeight w:val="692"/>
        </w:trPr>
        <w:tc>
          <w:tcPr>
            <w:tcW w:w="2719" w:type="dxa"/>
            <w:tcBorders>
              <w:top w:val="single" w:sz="8" w:space="0" w:color="FFFFFF"/>
              <w:left w:val="nil"/>
              <w:bottom w:val="single" w:sz="8" w:space="0" w:color="FFFFFF"/>
              <w:right w:val="nil"/>
            </w:tcBorders>
            <w:shd w:val="clear" w:color="auto" w:fill="E6E7E8"/>
            <w:hideMark/>
          </w:tcPr>
          <w:p w14:paraId="11EC405E" w14:textId="77777777" w:rsidR="00096B39" w:rsidRPr="00BA1B7B" w:rsidRDefault="00096B39" w:rsidP="00096B39">
            <w:pPr>
              <w:widowControl w:val="0"/>
              <w:autoSpaceDE w:val="0"/>
              <w:autoSpaceDN w:val="0"/>
              <w:spacing w:before="58"/>
              <w:ind w:left="79"/>
              <w:rPr>
                <w:rFonts w:ascii="Arial" w:eastAsia="Calibri" w:hAnsi="Arial" w:cs="Arial"/>
                <w:sz w:val="20"/>
                <w:szCs w:val="20"/>
                <w:lang w:val="en-US"/>
              </w:rPr>
            </w:pPr>
            <w:r w:rsidRPr="00BA1B7B">
              <w:rPr>
                <w:rFonts w:ascii="Arial" w:eastAsia="Calibri" w:hAnsi="Arial" w:cs="Arial"/>
                <w:sz w:val="20"/>
                <w:szCs w:val="20"/>
                <w:lang w:val="en-US"/>
              </w:rPr>
              <w:t>Clinical consequences</w:t>
            </w:r>
          </w:p>
        </w:tc>
        <w:tc>
          <w:tcPr>
            <w:tcW w:w="3841" w:type="dxa"/>
            <w:tcBorders>
              <w:top w:val="single" w:sz="8" w:space="0" w:color="FFFFFF"/>
              <w:left w:val="nil"/>
              <w:bottom w:val="single" w:sz="8" w:space="0" w:color="FFFFFF"/>
              <w:right w:val="nil"/>
            </w:tcBorders>
            <w:shd w:val="clear" w:color="auto" w:fill="E6E7E8"/>
            <w:hideMark/>
          </w:tcPr>
          <w:p w14:paraId="2F6E10AB" w14:textId="77777777" w:rsidR="00096B39" w:rsidRPr="00BA1B7B" w:rsidRDefault="00096B39" w:rsidP="00096B39">
            <w:pPr>
              <w:widowControl w:val="0"/>
              <w:autoSpaceDE w:val="0"/>
              <w:autoSpaceDN w:val="0"/>
              <w:spacing w:before="63" w:line="232" w:lineRule="auto"/>
              <w:ind w:left="365" w:right="1" w:hanging="1"/>
              <w:rPr>
                <w:rFonts w:ascii="Arial" w:eastAsia="Calibri" w:hAnsi="Arial" w:cs="Arial"/>
                <w:sz w:val="20"/>
                <w:szCs w:val="20"/>
                <w:lang w:val="en-US"/>
              </w:rPr>
            </w:pPr>
            <w:r w:rsidRPr="00BA1B7B">
              <w:rPr>
                <w:rFonts w:ascii="Arial" w:eastAsia="Calibri" w:hAnsi="Arial" w:cs="Arial"/>
                <w:sz w:val="20"/>
                <w:szCs w:val="20"/>
                <w:lang w:val="en-US"/>
              </w:rPr>
              <w:t>Risks of prematurity, high mortality and morbidity</w:t>
            </w:r>
          </w:p>
        </w:tc>
        <w:tc>
          <w:tcPr>
            <w:tcW w:w="3418" w:type="dxa"/>
            <w:tcBorders>
              <w:top w:val="single" w:sz="8" w:space="0" w:color="FFFFFF"/>
              <w:left w:val="nil"/>
              <w:bottom w:val="single" w:sz="8" w:space="0" w:color="FFFFFF"/>
              <w:right w:val="nil"/>
            </w:tcBorders>
            <w:shd w:val="clear" w:color="auto" w:fill="E6E7E8"/>
            <w:hideMark/>
          </w:tcPr>
          <w:p w14:paraId="2C8244A4" w14:textId="77777777" w:rsidR="00096B39" w:rsidRPr="00BA1B7B" w:rsidRDefault="00096B39" w:rsidP="00096B39">
            <w:pPr>
              <w:widowControl w:val="0"/>
              <w:autoSpaceDE w:val="0"/>
              <w:autoSpaceDN w:val="0"/>
              <w:spacing w:before="58"/>
              <w:ind w:left="341"/>
              <w:rPr>
                <w:rFonts w:ascii="Arial" w:eastAsia="Calibri" w:hAnsi="Arial" w:cs="Arial"/>
                <w:sz w:val="20"/>
                <w:szCs w:val="20"/>
                <w:lang w:val="en-US"/>
              </w:rPr>
            </w:pPr>
            <w:r w:rsidRPr="00BA1B7B">
              <w:rPr>
                <w:rFonts w:ascii="Arial" w:eastAsia="Calibri" w:hAnsi="Arial" w:cs="Arial"/>
                <w:sz w:val="20"/>
                <w:szCs w:val="20"/>
                <w:lang w:val="en-US"/>
              </w:rPr>
              <w:t>Low mortality and morbidity</w:t>
            </w:r>
          </w:p>
        </w:tc>
      </w:tr>
    </w:tbl>
    <w:p w14:paraId="017483B8" w14:textId="77777777" w:rsidR="00096B39" w:rsidRPr="00BA1B7B" w:rsidRDefault="00096B39" w:rsidP="00096B39">
      <w:pPr>
        <w:widowControl w:val="0"/>
        <w:autoSpaceDE w:val="0"/>
        <w:autoSpaceDN w:val="0"/>
        <w:spacing w:before="99"/>
        <w:rPr>
          <w:rFonts w:ascii="Arial" w:eastAsia="Calibri" w:hAnsi="Arial" w:cs="Arial"/>
          <w:sz w:val="20"/>
          <w:szCs w:val="20"/>
          <w:lang w:val="en-US"/>
        </w:rPr>
      </w:pPr>
      <w:r w:rsidRPr="00BA1B7B">
        <w:rPr>
          <w:rFonts w:ascii="Arial" w:eastAsia="Calibri" w:hAnsi="Arial" w:cs="Arial"/>
          <w:sz w:val="20"/>
          <w:szCs w:val="20"/>
          <w:lang w:val="en-US"/>
        </w:rPr>
        <w:t>Source: (PSANZ and Stillbirth CRE, 2018)</w:t>
      </w:r>
    </w:p>
    <w:p w14:paraId="12189F03" w14:textId="2DBA2955" w:rsidR="00096B39" w:rsidRPr="00BA1B7B" w:rsidRDefault="00096B39" w:rsidP="004A22FD">
      <w:pPr>
        <w:pStyle w:val="BodytextEASH"/>
        <w:ind w:left="0"/>
        <w:rPr>
          <w:b/>
          <w:color w:val="auto"/>
          <w:w w:val="105"/>
        </w:rPr>
      </w:pPr>
    </w:p>
    <w:p w14:paraId="57717293" w14:textId="5FBDDEC9" w:rsidR="009F1AD6" w:rsidRPr="00BA1B7B" w:rsidRDefault="009F1AD6" w:rsidP="004A22FD">
      <w:pPr>
        <w:pStyle w:val="BodytextEASH"/>
        <w:ind w:left="0"/>
        <w:rPr>
          <w:b/>
          <w:color w:val="auto"/>
          <w:w w:val="105"/>
        </w:rPr>
      </w:pPr>
      <w:r w:rsidRPr="00BA1B7B">
        <w:rPr>
          <w:b/>
          <w:color w:val="auto"/>
          <w:w w:val="105"/>
        </w:rPr>
        <w:t>Risk assessment for SGA and FGR</w:t>
      </w:r>
    </w:p>
    <w:p w14:paraId="2394F1B3" w14:textId="77777777" w:rsidR="00096B39" w:rsidRPr="00BA1B7B" w:rsidRDefault="009F1AD6" w:rsidP="00096B39">
      <w:pPr>
        <w:pStyle w:val="BodyText"/>
        <w:spacing w:before="143" w:line="232" w:lineRule="auto"/>
        <w:ind w:right="946"/>
        <w:rPr>
          <w:rFonts w:ascii="Arial" w:hAnsi="Arial" w:cs="Arial"/>
          <w:sz w:val="20"/>
          <w:szCs w:val="20"/>
        </w:rPr>
      </w:pPr>
      <w:r w:rsidRPr="00BA1B7B">
        <w:rPr>
          <w:rFonts w:ascii="Arial" w:hAnsi="Arial" w:cs="Arial"/>
          <w:sz w:val="20"/>
          <w:szCs w:val="20"/>
        </w:rPr>
        <w:t>All women will undergo a risk assessment for SGA and FGR at the initial ‘booking’ appointment with the midwife.  Any woman that is deemed high risk (level 3) will automatically be allocated a RED pathway as per Eastern Health Maternity Planning and Consultation guidelines and therefore NOT appropriate for GP shared care.</w:t>
      </w:r>
    </w:p>
    <w:p w14:paraId="0B522CA2" w14:textId="77777777" w:rsidR="00096B39" w:rsidRPr="00BA1B7B" w:rsidRDefault="00096B39" w:rsidP="00096B39">
      <w:pPr>
        <w:pStyle w:val="BodyText"/>
        <w:spacing w:before="143" w:line="232" w:lineRule="auto"/>
        <w:ind w:right="946"/>
        <w:rPr>
          <w:rFonts w:ascii="Arial" w:hAnsi="Arial" w:cs="Arial"/>
          <w:sz w:val="20"/>
          <w:szCs w:val="20"/>
        </w:rPr>
      </w:pPr>
    </w:p>
    <w:p w14:paraId="1F554DCE" w14:textId="24091408" w:rsidR="009F1AD6" w:rsidRPr="00BA1B7B" w:rsidRDefault="009F1AD6" w:rsidP="00096B39">
      <w:pPr>
        <w:pStyle w:val="BodyText"/>
        <w:spacing w:before="143" w:line="232" w:lineRule="auto"/>
        <w:ind w:right="946"/>
        <w:rPr>
          <w:rFonts w:ascii="Arial" w:hAnsi="Arial" w:cs="Arial"/>
          <w:sz w:val="20"/>
          <w:szCs w:val="20"/>
        </w:rPr>
      </w:pPr>
      <w:r w:rsidRPr="00BA1B7B">
        <w:rPr>
          <w:rFonts w:ascii="Arial" w:hAnsi="Arial" w:cs="Arial"/>
          <w:sz w:val="20"/>
          <w:szCs w:val="20"/>
        </w:rPr>
        <w:t xml:space="preserve">Women who are identified at booking with a level 2 risks may remain in GPSC if deemed “Green pathway however, are </w:t>
      </w:r>
      <w:r w:rsidRPr="00BA1B7B">
        <w:rPr>
          <w:rFonts w:ascii="Arial" w:hAnsi="Arial" w:cs="Arial"/>
          <w:b/>
          <w:sz w:val="20"/>
          <w:szCs w:val="20"/>
        </w:rPr>
        <w:t>NOT</w:t>
      </w:r>
      <w:r w:rsidRPr="00BA1B7B">
        <w:rPr>
          <w:rFonts w:ascii="Arial" w:hAnsi="Arial" w:cs="Arial"/>
          <w:sz w:val="20"/>
          <w:szCs w:val="20"/>
        </w:rPr>
        <w:t xml:space="preserve"> eligible for GPSC in the following circumstances as per risk management algorithm:</w:t>
      </w:r>
    </w:p>
    <w:p w14:paraId="2696962E" w14:textId="08941747" w:rsidR="009F1AD6" w:rsidRPr="00BA1B7B" w:rsidRDefault="009F1AD6" w:rsidP="004A22FD">
      <w:pPr>
        <w:pStyle w:val="BodytextEASH"/>
        <w:numPr>
          <w:ilvl w:val="0"/>
          <w:numId w:val="67"/>
        </w:numPr>
        <w:ind w:left="426"/>
        <w:rPr>
          <w:color w:val="auto"/>
        </w:rPr>
      </w:pPr>
      <w:r w:rsidRPr="00BA1B7B">
        <w:rPr>
          <w:color w:val="auto"/>
        </w:rPr>
        <w:t>Risk Factors for FGR identified</w:t>
      </w:r>
    </w:p>
    <w:p w14:paraId="7A0C1AFB" w14:textId="3C055BEB" w:rsidR="009F1AD6" w:rsidRPr="00BA1B7B" w:rsidRDefault="009F1AD6" w:rsidP="004A22FD">
      <w:pPr>
        <w:pStyle w:val="BodytextEASH"/>
        <w:numPr>
          <w:ilvl w:val="0"/>
          <w:numId w:val="67"/>
        </w:numPr>
        <w:ind w:left="426"/>
        <w:rPr>
          <w:bCs/>
          <w:color w:val="auto"/>
        </w:rPr>
      </w:pPr>
      <w:r w:rsidRPr="00BA1B7B">
        <w:rPr>
          <w:color w:val="auto"/>
        </w:rPr>
        <w:t xml:space="preserve">Unsuitable for SFH measurements </w:t>
      </w:r>
    </w:p>
    <w:p w14:paraId="3D73F8D5" w14:textId="77777777" w:rsidR="009F1AD6" w:rsidRPr="00BA1B7B" w:rsidRDefault="009F1AD6" w:rsidP="004A22FD">
      <w:pPr>
        <w:pStyle w:val="BodytextEASH"/>
        <w:numPr>
          <w:ilvl w:val="0"/>
          <w:numId w:val="67"/>
        </w:numPr>
        <w:ind w:left="426"/>
        <w:rPr>
          <w:rStyle w:val="Hyperlink"/>
          <w:bCs/>
          <w:color w:val="auto"/>
        </w:rPr>
      </w:pPr>
      <w:r w:rsidRPr="00BA1B7B">
        <w:rPr>
          <w:bCs/>
          <w:color w:val="auto"/>
        </w:rPr>
        <w:t xml:space="preserve">Women who develop a level 2 risk as per </w:t>
      </w:r>
      <w:r w:rsidRPr="00BA1B7B">
        <w:rPr>
          <w:color w:val="auto"/>
        </w:rPr>
        <w:t>risk management algorithm</w:t>
      </w:r>
      <w:r w:rsidRPr="00BA1B7B">
        <w:rPr>
          <w:bCs/>
          <w:color w:val="auto"/>
        </w:rPr>
        <w:t xml:space="preserve"> - </w:t>
      </w:r>
      <w:r w:rsidRPr="00BA1B7B">
        <w:rPr>
          <w:color w:val="auto"/>
        </w:rPr>
        <w:t xml:space="preserve">refer to </w:t>
      </w:r>
      <w:r w:rsidRPr="00BA1B7B">
        <w:rPr>
          <w:color w:val="auto"/>
          <w:w w:val="105"/>
        </w:rPr>
        <w:t>FGR risk factors and risk management algorithm:</w:t>
      </w:r>
      <w:r w:rsidRPr="00BA1B7B">
        <w:rPr>
          <w:color w:val="auto"/>
        </w:rPr>
        <w:t xml:space="preserve"> </w:t>
      </w:r>
      <w:hyperlink r:id="rId102" w:history="1">
        <w:r w:rsidRPr="00BA1B7B">
          <w:rPr>
            <w:rStyle w:val="Hyperlink"/>
            <w:color w:val="auto"/>
            <w:w w:val="105"/>
          </w:rPr>
          <w:t>https://resources.stillbirthcre.org.au/elearn/resources/FGR%20Management%20Pathway_V4.pdf</w:t>
        </w:r>
      </w:hyperlink>
    </w:p>
    <w:p w14:paraId="251DE1B7" w14:textId="77777777" w:rsidR="009F1AD6" w:rsidRPr="00BA1B7B" w:rsidRDefault="009F1AD6" w:rsidP="009F1AD6">
      <w:pPr>
        <w:spacing w:before="21"/>
        <w:rPr>
          <w:rFonts w:ascii="Arial" w:hAnsi="Arial" w:cs="Arial"/>
          <w:sz w:val="20"/>
          <w:szCs w:val="20"/>
        </w:rPr>
      </w:pPr>
      <w:r w:rsidRPr="00BA1B7B">
        <w:rPr>
          <w:rFonts w:ascii="Arial" w:hAnsi="Arial" w:cs="Arial"/>
          <w:sz w:val="20"/>
          <w:szCs w:val="20"/>
        </w:rPr>
        <w:t xml:space="preserve">Women who are allocated a </w:t>
      </w:r>
      <w:r w:rsidRPr="00BA1B7B">
        <w:rPr>
          <w:rFonts w:ascii="Arial" w:hAnsi="Arial" w:cs="Arial"/>
          <w:b/>
          <w:sz w:val="20"/>
          <w:szCs w:val="20"/>
        </w:rPr>
        <w:t>GREEN</w:t>
      </w:r>
      <w:r w:rsidRPr="00BA1B7B">
        <w:rPr>
          <w:rFonts w:ascii="Arial" w:hAnsi="Arial" w:cs="Arial"/>
          <w:sz w:val="20"/>
          <w:szCs w:val="20"/>
        </w:rPr>
        <w:t xml:space="preserve"> pathway and eligible for GP shared care must undergo risk assessment with each ante-natal appointment.</w:t>
      </w:r>
    </w:p>
    <w:p w14:paraId="0668F743" w14:textId="5C2500EC" w:rsidR="00603877" w:rsidRPr="00BA1B7B" w:rsidRDefault="009F1AD6" w:rsidP="009F1AD6">
      <w:pPr>
        <w:spacing w:before="21"/>
        <w:rPr>
          <w:rFonts w:ascii="Arial" w:hAnsi="Arial" w:cs="Arial"/>
          <w:sz w:val="20"/>
          <w:szCs w:val="20"/>
        </w:rPr>
      </w:pPr>
      <w:r w:rsidRPr="00BA1B7B">
        <w:rPr>
          <w:rFonts w:ascii="Arial" w:hAnsi="Arial" w:cs="Arial"/>
          <w:w w:val="105"/>
          <w:sz w:val="20"/>
          <w:szCs w:val="20"/>
        </w:rPr>
        <w:t xml:space="preserve">Some women who are </w:t>
      </w:r>
      <w:r w:rsidRPr="00BA1B7B">
        <w:rPr>
          <w:rFonts w:ascii="Arial" w:hAnsi="Arial" w:cs="Arial"/>
          <w:b/>
          <w:sz w:val="20"/>
          <w:szCs w:val="20"/>
        </w:rPr>
        <w:t>GREEN</w:t>
      </w:r>
      <w:r w:rsidRPr="00BA1B7B">
        <w:rPr>
          <w:rFonts w:ascii="Arial" w:hAnsi="Arial" w:cs="Arial"/>
          <w:sz w:val="20"/>
          <w:szCs w:val="20"/>
        </w:rPr>
        <w:t xml:space="preserve"> pathway may have an </w:t>
      </w:r>
      <w:r w:rsidRPr="00BA1B7B">
        <w:rPr>
          <w:rFonts w:ascii="Arial" w:hAnsi="Arial" w:cs="Arial"/>
          <w:b/>
          <w:sz w:val="20"/>
          <w:szCs w:val="20"/>
        </w:rPr>
        <w:t>AMBER</w:t>
      </w:r>
      <w:r w:rsidRPr="00BA1B7B">
        <w:rPr>
          <w:rFonts w:ascii="Arial" w:hAnsi="Arial" w:cs="Arial"/>
          <w:sz w:val="20"/>
          <w:szCs w:val="20"/>
        </w:rPr>
        <w:t xml:space="preserve"> alert applied and require planned growth scans at 28-30 weeks and 34-36 weeks. </w:t>
      </w:r>
      <w:r w:rsidRPr="00BA1B7B">
        <w:rPr>
          <w:rFonts w:ascii="Arial" w:hAnsi="Arial" w:cs="Arial"/>
          <w:b/>
          <w:sz w:val="20"/>
          <w:szCs w:val="20"/>
        </w:rPr>
        <w:t xml:space="preserve">All </w:t>
      </w:r>
      <w:r w:rsidRPr="00BA1B7B">
        <w:rPr>
          <w:rFonts w:ascii="Arial" w:hAnsi="Arial" w:cs="Arial"/>
          <w:sz w:val="20"/>
          <w:szCs w:val="20"/>
        </w:rPr>
        <w:t>women requiring growth scans based on level 2</w:t>
      </w:r>
      <w:r w:rsidR="00096B39" w:rsidRPr="00BA1B7B">
        <w:rPr>
          <w:rFonts w:ascii="Arial" w:hAnsi="Arial" w:cs="Arial"/>
          <w:sz w:val="20"/>
          <w:szCs w:val="20"/>
        </w:rPr>
        <w:t>.</w:t>
      </w:r>
      <w:r w:rsidRPr="00BA1B7B">
        <w:rPr>
          <w:rFonts w:ascii="Arial" w:hAnsi="Arial" w:cs="Arial"/>
          <w:sz w:val="20"/>
          <w:szCs w:val="20"/>
        </w:rPr>
        <w:t xml:space="preserve"> </w:t>
      </w:r>
    </w:p>
    <w:p w14:paraId="03E26749" w14:textId="77777777" w:rsidR="00603877" w:rsidRPr="00BA1B7B" w:rsidRDefault="00603877" w:rsidP="009F1AD6">
      <w:pPr>
        <w:spacing w:before="21"/>
        <w:rPr>
          <w:rFonts w:ascii="Arial" w:hAnsi="Arial" w:cs="Arial"/>
          <w:sz w:val="20"/>
          <w:szCs w:val="20"/>
        </w:rPr>
      </w:pPr>
    </w:p>
    <w:p w14:paraId="1FA119DD" w14:textId="618F93C6" w:rsidR="009F1AD6" w:rsidRPr="00BA1B7B" w:rsidRDefault="00096B39" w:rsidP="009F1AD6">
      <w:pPr>
        <w:spacing w:before="21"/>
        <w:rPr>
          <w:rFonts w:ascii="Arial" w:hAnsi="Arial" w:cs="Arial"/>
          <w:sz w:val="20"/>
          <w:szCs w:val="20"/>
        </w:rPr>
      </w:pPr>
      <w:r w:rsidRPr="00BA1B7B">
        <w:rPr>
          <w:rFonts w:ascii="Arial" w:hAnsi="Arial" w:cs="Arial"/>
          <w:sz w:val="20"/>
          <w:szCs w:val="20"/>
        </w:rPr>
        <w:t>R</w:t>
      </w:r>
      <w:r w:rsidR="009F1AD6" w:rsidRPr="00BA1B7B">
        <w:rPr>
          <w:rFonts w:ascii="Arial" w:hAnsi="Arial" w:cs="Arial"/>
          <w:sz w:val="20"/>
          <w:szCs w:val="20"/>
        </w:rPr>
        <w:t xml:space="preserve">isk </w:t>
      </w:r>
      <w:r w:rsidR="009F1AD6" w:rsidRPr="00BA1B7B">
        <w:rPr>
          <w:rFonts w:ascii="Arial" w:hAnsi="Arial" w:cs="Arial"/>
          <w:b/>
          <w:sz w:val="20"/>
          <w:szCs w:val="20"/>
        </w:rPr>
        <w:t>MUST</w:t>
      </w:r>
      <w:r w:rsidR="009F1AD6" w:rsidRPr="00BA1B7B">
        <w:rPr>
          <w:rFonts w:ascii="Arial" w:hAnsi="Arial" w:cs="Arial"/>
          <w:sz w:val="20"/>
          <w:szCs w:val="20"/>
        </w:rPr>
        <w:t xml:space="preserve"> be reviewed by an obstetrician and book an appointment at Eastern Health 3-7 days following scan with a level 2/3 Obstetrician to determine ongoing management plan and suitability for GP shared care. These appointments should be made in advance once date of scan is known.</w:t>
      </w:r>
    </w:p>
    <w:p w14:paraId="7C15B67D" w14:textId="77777777" w:rsidR="004A22FD" w:rsidRPr="00BA1B7B" w:rsidRDefault="004A22FD" w:rsidP="004A22FD">
      <w:pPr>
        <w:pStyle w:val="BodytextEASH"/>
        <w:ind w:left="0"/>
        <w:rPr>
          <w:b/>
          <w:color w:val="auto"/>
          <w:w w:val="105"/>
        </w:rPr>
      </w:pPr>
    </w:p>
    <w:p w14:paraId="0269EB8F" w14:textId="4082FC4C" w:rsidR="009F1AD6" w:rsidRPr="00BA1B7B" w:rsidRDefault="009F1AD6" w:rsidP="004A22FD">
      <w:pPr>
        <w:pStyle w:val="BodytextEASH"/>
        <w:ind w:left="0"/>
        <w:rPr>
          <w:b/>
          <w:color w:val="auto"/>
          <w:w w:val="105"/>
        </w:rPr>
      </w:pPr>
      <w:r w:rsidRPr="00BA1B7B">
        <w:rPr>
          <w:b/>
          <w:color w:val="auto"/>
          <w:w w:val="105"/>
        </w:rPr>
        <w:t xml:space="preserve">Symphyseal Fundal Height (SFH) </w:t>
      </w:r>
    </w:p>
    <w:p w14:paraId="347E903C" w14:textId="77777777" w:rsidR="009F1AD6" w:rsidRPr="00BA1B7B" w:rsidRDefault="009F1AD6" w:rsidP="009F1AD6">
      <w:pPr>
        <w:pStyle w:val="BodyText"/>
        <w:spacing w:before="143" w:line="232" w:lineRule="auto"/>
        <w:ind w:right="876"/>
        <w:rPr>
          <w:rFonts w:ascii="Arial" w:hAnsi="Arial" w:cs="Arial"/>
          <w:sz w:val="20"/>
          <w:szCs w:val="20"/>
        </w:rPr>
      </w:pPr>
      <w:r w:rsidRPr="00BA1B7B">
        <w:rPr>
          <w:rFonts w:ascii="Arial" w:hAnsi="Arial" w:cs="Arial"/>
          <w:sz w:val="20"/>
          <w:szCs w:val="20"/>
        </w:rPr>
        <w:lastRenderedPageBreak/>
        <w:t>Symphyseal fundal height (SFH) refers to the distance measured in centimetres on the longitudinal axis of the abdomen from the top of the fundus to the top of the symphysis pubis (Perinatal Institute (2015).</w:t>
      </w:r>
    </w:p>
    <w:p w14:paraId="76702BFB" w14:textId="77777777" w:rsidR="009F1AD6" w:rsidRPr="00BA1B7B" w:rsidRDefault="009F1AD6" w:rsidP="009F1AD6">
      <w:pPr>
        <w:pStyle w:val="BodyText"/>
        <w:spacing w:before="173" w:line="232" w:lineRule="auto"/>
        <w:ind w:right="946"/>
        <w:rPr>
          <w:rFonts w:ascii="Arial" w:hAnsi="Arial" w:cs="Arial"/>
          <w:sz w:val="20"/>
          <w:szCs w:val="20"/>
        </w:rPr>
      </w:pPr>
      <w:r w:rsidRPr="00BA1B7B">
        <w:rPr>
          <w:rFonts w:ascii="Arial" w:hAnsi="Arial" w:cs="Arial"/>
          <w:sz w:val="20"/>
          <w:szCs w:val="20"/>
        </w:rPr>
        <w:t xml:space="preserve">Serial measurement of SFH is recommended at each antenatal appointment starting from </w:t>
      </w:r>
      <w:r w:rsidRPr="00BA1B7B">
        <w:rPr>
          <w:rFonts w:ascii="Arial" w:hAnsi="Arial" w:cs="Arial"/>
          <w:b/>
          <w:sz w:val="20"/>
          <w:szCs w:val="20"/>
        </w:rPr>
        <w:t>24 weeks</w:t>
      </w:r>
      <w:r w:rsidRPr="00BA1B7B">
        <w:rPr>
          <w:rFonts w:ascii="Arial" w:hAnsi="Arial" w:cs="Arial"/>
          <w:sz w:val="20"/>
          <w:szCs w:val="20"/>
        </w:rPr>
        <w:t xml:space="preserve"> (Australian Government Department of Health, 2018), to assist with overall assessment of fetal growth.</w:t>
      </w:r>
    </w:p>
    <w:p w14:paraId="48543963" w14:textId="77777777" w:rsidR="009F1AD6" w:rsidRPr="00BA1B7B" w:rsidRDefault="009F1AD6" w:rsidP="009F1AD6">
      <w:pPr>
        <w:pStyle w:val="BodyText"/>
        <w:spacing w:before="173" w:line="232" w:lineRule="auto"/>
        <w:ind w:right="946"/>
        <w:rPr>
          <w:rFonts w:ascii="Arial" w:hAnsi="Arial" w:cs="Arial"/>
          <w:sz w:val="20"/>
          <w:szCs w:val="20"/>
        </w:rPr>
      </w:pPr>
    </w:p>
    <w:p w14:paraId="622A78E2" w14:textId="10A0C229" w:rsidR="009F1AD6" w:rsidRPr="005E6595" w:rsidRDefault="009F1AD6" w:rsidP="009F1AD6">
      <w:pPr>
        <w:spacing w:before="21"/>
        <w:rPr>
          <w:rFonts w:ascii="Arial" w:hAnsi="Arial" w:cs="Arial"/>
          <w:color w:val="002F86" w:themeColor="text1"/>
          <w:w w:val="105"/>
          <w:sz w:val="20"/>
          <w:szCs w:val="20"/>
        </w:rPr>
      </w:pPr>
      <w:r w:rsidRPr="005E6595">
        <w:rPr>
          <w:rFonts w:ascii="Arial" w:hAnsi="Arial" w:cs="Arial"/>
          <w:noProof/>
          <w:color w:val="002F86" w:themeColor="text1"/>
          <w:w w:val="105"/>
          <w:sz w:val="20"/>
          <w:szCs w:val="20"/>
          <w:lang w:eastAsia="en-AU"/>
        </w:rPr>
        <w:drawing>
          <wp:inline distT="0" distB="0" distL="0" distR="0" wp14:anchorId="5FCF2291" wp14:editId="0FA1F5C1">
            <wp:extent cx="2178424" cy="24068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86043" cy="2415249"/>
                    </a:xfrm>
                    <a:prstGeom prst="rect">
                      <a:avLst/>
                    </a:prstGeom>
                    <a:noFill/>
                  </pic:spPr>
                </pic:pic>
              </a:graphicData>
            </a:graphic>
          </wp:inline>
        </w:drawing>
      </w:r>
      <w:r w:rsidRPr="005E6595">
        <w:rPr>
          <w:rFonts w:ascii="Arial" w:hAnsi="Arial" w:cs="Arial"/>
          <w:color w:val="002F86" w:themeColor="text1"/>
          <w:w w:val="105"/>
          <w:sz w:val="20"/>
          <w:szCs w:val="20"/>
        </w:rPr>
        <w:t xml:space="preserve">      </w:t>
      </w:r>
      <w:r w:rsidRPr="005E6595">
        <w:rPr>
          <w:rFonts w:ascii="Arial" w:hAnsi="Arial" w:cs="Arial"/>
          <w:noProof/>
          <w:color w:val="002F86" w:themeColor="text1"/>
          <w:w w:val="105"/>
          <w:sz w:val="20"/>
          <w:szCs w:val="20"/>
          <w:lang w:eastAsia="en-AU"/>
        </w:rPr>
        <w:drawing>
          <wp:inline distT="0" distB="0" distL="0" distR="0" wp14:anchorId="20C23D52" wp14:editId="301399C7">
            <wp:extent cx="2814918" cy="1881316"/>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33129" cy="1893487"/>
                    </a:xfrm>
                    <a:prstGeom prst="rect">
                      <a:avLst/>
                    </a:prstGeom>
                    <a:noFill/>
                  </pic:spPr>
                </pic:pic>
              </a:graphicData>
            </a:graphic>
          </wp:inline>
        </w:drawing>
      </w:r>
    </w:p>
    <w:p w14:paraId="126C61DA" w14:textId="77777777" w:rsidR="009F1AD6" w:rsidRPr="005E6595" w:rsidRDefault="009F1AD6" w:rsidP="009F1AD6">
      <w:pPr>
        <w:spacing w:before="21"/>
        <w:rPr>
          <w:rFonts w:ascii="Arial" w:hAnsi="Arial" w:cs="Arial"/>
          <w:color w:val="002F86" w:themeColor="text1"/>
          <w:w w:val="105"/>
          <w:sz w:val="20"/>
          <w:szCs w:val="20"/>
        </w:rPr>
      </w:pPr>
    </w:p>
    <w:p w14:paraId="73BBA4BC" w14:textId="5E16F06E" w:rsidR="005F1FD7" w:rsidRDefault="005F1FD7" w:rsidP="00096B39">
      <w:pPr>
        <w:widowControl w:val="0"/>
        <w:autoSpaceDE w:val="0"/>
        <w:autoSpaceDN w:val="0"/>
        <w:spacing w:before="69"/>
        <w:rPr>
          <w:rFonts w:ascii="Arial" w:eastAsia="Calibri" w:hAnsi="Arial" w:cs="Arial"/>
          <w:b/>
          <w:bCs/>
          <w:color w:val="002F86" w:themeColor="text1"/>
          <w:w w:val="105"/>
          <w:sz w:val="20"/>
          <w:szCs w:val="20"/>
          <w:lang w:val="en-US"/>
        </w:rPr>
      </w:pPr>
    </w:p>
    <w:p w14:paraId="31FF2313" w14:textId="77777777" w:rsidR="005F1FD7" w:rsidRDefault="005F1FD7" w:rsidP="00096B39">
      <w:pPr>
        <w:widowControl w:val="0"/>
        <w:autoSpaceDE w:val="0"/>
        <w:autoSpaceDN w:val="0"/>
        <w:spacing w:before="69"/>
        <w:rPr>
          <w:rFonts w:ascii="Arial" w:eastAsia="Calibri" w:hAnsi="Arial" w:cs="Arial"/>
          <w:b/>
          <w:bCs/>
          <w:color w:val="002F86" w:themeColor="text1"/>
          <w:w w:val="105"/>
          <w:sz w:val="20"/>
          <w:szCs w:val="20"/>
          <w:lang w:val="en-US"/>
        </w:rPr>
      </w:pPr>
    </w:p>
    <w:p w14:paraId="62F2A350" w14:textId="70109E33" w:rsidR="009F1AD6" w:rsidRPr="00BA1B7B" w:rsidRDefault="009F1AD6" w:rsidP="00096B39">
      <w:pPr>
        <w:widowControl w:val="0"/>
        <w:autoSpaceDE w:val="0"/>
        <w:autoSpaceDN w:val="0"/>
        <w:spacing w:before="69"/>
        <w:rPr>
          <w:rFonts w:ascii="Arial" w:eastAsia="Calibri" w:hAnsi="Arial" w:cs="Arial"/>
          <w:b/>
          <w:bCs/>
          <w:w w:val="105"/>
          <w:sz w:val="20"/>
          <w:szCs w:val="20"/>
          <w:lang w:val="en-US"/>
        </w:rPr>
      </w:pPr>
      <w:r w:rsidRPr="00BA1B7B">
        <w:rPr>
          <w:rFonts w:ascii="Arial" w:eastAsia="Calibri" w:hAnsi="Arial" w:cs="Arial"/>
          <w:b/>
          <w:bCs/>
          <w:w w:val="105"/>
          <w:sz w:val="20"/>
          <w:szCs w:val="20"/>
          <w:lang w:val="en-US"/>
        </w:rPr>
        <w:t>Table 3: SFH positives and negatives</w:t>
      </w:r>
    </w:p>
    <w:p w14:paraId="117019F8" w14:textId="77777777" w:rsidR="009F1AD6" w:rsidRPr="00BA1B7B" w:rsidRDefault="009F1AD6" w:rsidP="009F1AD6">
      <w:pPr>
        <w:pStyle w:val="BodyText"/>
        <w:spacing w:before="5"/>
        <w:rPr>
          <w:rFonts w:ascii="Arial" w:hAnsi="Arial" w:cs="Arial"/>
          <w:b/>
          <w:sz w:val="20"/>
          <w:szCs w:val="20"/>
        </w:rPr>
      </w:pPr>
    </w:p>
    <w:tbl>
      <w:tblPr>
        <w:tblW w:w="9979" w:type="dxa"/>
        <w:tblLayout w:type="fixed"/>
        <w:tblCellMar>
          <w:left w:w="0" w:type="dxa"/>
          <w:right w:w="0" w:type="dxa"/>
        </w:tblCellMar>
        <w:tblLook w:val="01E0" w:firstRow="1" w:lastRow="1" w:firstColumn="1" w:lastColumn="1" w:noHBand="0" w:noVBand="0"/>
      </w:tblPr>
      <w:tblGrid>
        <w:gridCol w:w="3534"/>
        <w:gridCol w:w="6445"/>
      </w:tblGrid>
      <w:tr w:rsidR="009F1AD6" w:rsidRPr="00BA1B7B" w14:paraId="149D69C3" w14:textId="77777777" w:rsidTr="00D64801">
        <w:trPr>
          <w:trHeight w:val="438"/>
        </w:trPr>
        <w:tc>
          <w:tcPr>
            <w:tcW w:w="3534" w:type="dxa"/>
            <w:tcBorders>
              <w:top w:val="nil"/>
              <w:left w:val="nil"/>
              <w:bottom w:val="single" w:sz="8" w:space="0" w:color="FFFFFF"/>
              <w:right w:val="nil"/>
            </w:tcBorders>
            <w:shd w:val="clear" w:color="auto" w:fill="D1D3D4"/>
            <w:hideMark/>
          </w:tcPr>
          <w:p w14:paraId="14A0F3C5" w14:textId="77777777" w:rsidR="009F1AD6" w:rsidRPr="00BA1B7B" w:rsidRDefault="009F1AD6" w:rsidP="00D64801">
            <w:pPr>
              <w:pStyle w:val="TableParagraph"/>
              <w:spacing w:before="69"/>
              <w:ind w:left="113"/>
              <w:rPr>
                <w:rFonts w:ascii="Arial" w:hAnsi="Arial" w:cs="Arial"/>
                <w:sz w:val="20"/>
                <w:szCs w:val="20"/>
              </w:rPr>
            </w:pPr>
            <w:r w:rsidRPr="00BA1B7B">
              <w:rPr>
                <w:rFonts w:ascii="Arial" w:hAnsi="Arial" w:cs="Arial"/>
                <w:sz w:val="20"/>
                <w:szCs w:val="20"/>
              </w:rPr>
              <w:t>Positives</w:t>
            </w:r>
          </w:p>
        </w:tc>
        <w:tc>
          <w:tcPr>
            <w:tcW w:w="6445" w:type="dxa"/>
            <w:tcBorders>
              <w:top w:val="nil"/>
              <w:left w:val="nil"/>
              <w:bottom w:val="single" w:sz="8" w:space="0" w:color="FFFFFF"/>
              <w:right w:val="nil"/>
            </w:tcBorders>
            <w:shd w:val="clear" w:color="auto" w:fill="D1D3D4"/>
            <w:hideMark/>
          </w:tcPr>
          <w:p w14:paraId="7DB49AA3" w14:textId="77777777" w:rsidR="009F1AD6" w:rsidRPr="00BA1B7B" w:rsidRDefault="009F1AD6" w:rsidP="00D64801">
            <w:pPr>
              <w:pStyle w:val="TableParagraph"/>
              <w:spacing w:before="69"/>
              <w:ind w:left="1568"/>
              <w:rPr>
                <w:rFonts w:ascii="Arial" w:hAnsi="Arial" w:cs="Arial"/>
                <w:sz w:val="20"/>
                <w:szCs w:val="20"/>
              </w:rPr>
            </w:pPr>
            <w:r w:rsidRPr="00BA1B7B">
              <w:rPr>
                <w:rFonts w:ascii="Arial" w:hAnsi="Arial" w:cs="Arial"/>
                <w:sz w:val="20"/>
                <w:szCs w:val="20"/>
              </w:rPr>
              <w:t>Negatives</w:t>
            </w:r>
          </w:p>
        </w:tc>
      </w:tr>
      <w:tr w:rsidR="009F1AD6" w:rsidRPr="00BA1B7B" w14:paraId="0E665691" w14:textId="77777777" w:rsidTr="00D64801">
        <w:trPr>
          <w:trHeight w:val="375"/>
        </w:trPr>
        <w:tc>
          <w:tcPr>
            <w:tcW w:w="3534" w:type="dxa"/>
            <w:tcBorders>
              <w:top w:val="single" w:sz="8" w:space="0" w:color="FFFFFF"/>
              <w:left w:val="nil"/>
              <w:bottom w:val="nil"/>
              <w:right w:val="nil"/>
            </w:tcBorders>
            <w:shd w:val="clear" w:color="auto" w:fill="E6E7E8"/>
            <w:hideMark/>
          </w:tcPr>
          <w:p w14:paraId="75EF0BC5" w14:textId="77777777" w:rsidR="009F1AD6" w:rsidRPr="00BA1B7B" w:rsidRDefault="009F1AD6" w:rsidP="00D64801">
            <w:pPr>
              <w:pStyle w:val="TableParagraph"/>
              <w:spacing w:before="69"/>
              <w:ind w:left="113"/>
              <w:rPr>
                <w:rFonts w:ascii="Arial" w:hAnsi="Arial" w:cs="Arial"/>
                <w:sz w:val="20"/>
                <w:szCs w:val="20"/>
              </w:rPr>
            </w:pPr>
            <w:r w:rsidRPr="00BA1B7B">
              <w:rPr>
                <w:rFonts w:ascii="Arial" w:hAnsi="Arial" w:cs="Arial"/>
                <w:sz w:val="20"/>
                <w:szCs w:val="20"/>
              </w:rPr>
              <w:t>Simple, easy to teach</w:t>
            </w:r>
          </w:p>
        </w:tc>
        <w:tc>
          <w:tcPr>
            <w:tcW w:w="6445" w:type="dxa"/>
            <w:tcBorders>
              <w:top w:val="single" w:sz="8" w:space="0" w:color="FFFFFF"/>
              <w:left w:val="nil"/>
              <w:bottom w:val="nil"/>
              <w:right w:val="nil"/>
            </w:tcBorders>
            <w:shd w:val="clear" w:color="auto" w:fill="E6E7E8"/>
            <w:hideMark/>
          </w:tcPr>
          <w:p w14:paraId="6EA36BAA" w14:textId="77777777" w:rsidR="009F1AD6" w:rsidRPr="00BA1B7B" w:rsidRDefault="009F1AD6" w:rsidP="00D64801">
            <w:pPr>
              <w:pStyle w:val="TableParagraph"/>
              <w:spacing w:before="35"/>
              <w:ind w:left="1534"/>
              <w:rPr>
                <w:rFonts w:ascii="Arial" w:hAnsi="Arial" w:cs="Arial"/>
                <w:sz w:val="20"/>
                <w:szCs w:val="20"/>
              </w:rPr>
            </w:pPr>
            <w:r w:rsidRPr="00BA1B7B">
              <w:rPr>
                <w:rFonts w:ascii="Arial" w:hAnsi="Arial" w:cs="Arial"/>
                <w:sz w:val="20"/>
                <w:szCs w:val="20"/>
              </w:rPr>
              <w:t>Low detection rates</w:t>
            </w:r>
          </w:p>
        </w:tc>
      </w:tr>
      <w:tr w:rsidR="009F1AD6" w:rsidRPr="00BA1B7B" w14:paraId="732B8BCE" w14:textId="77777777" w:rsidTr="00D64801">
        <w:trPr>
          <w:trHeight w:val="377"/>
        </w:trPr>
        <w:tc>
          <w:tcPr>
            <w:tcW w:w="3534" w:type="dxa"/>
            <w:shd w:val="clear" w:color="auto" w:fill="E6E7E8"/>
            <w:hideMark/>
          </w:tcPr>
          <w:p w14:paraId="0713AB42" w14:textId="77777777" w:rsidR="009F1AD6" w:rsidRPr="00BA1B7B" w:rsidRDefault="009F1AD6" w:rsidP="00D64801">
            <w:pPr>
              <w:pStyle w:val="TableParagraph"/>
              <w:spacing w:before="71"/>
              <w:ind w:left="113"/>
              <w:rPr>
                <w:rFonts w:ascii="Arial" w:hAnsi="Arial" w:cs="Arial"/>
                <w:sz w:val="20"/>
                <w:szCs w:val="20"/>
              </w:rPr>
            </w:pPr>
            <w:r w:rsidRPr="00BA1B7B">
              <w:rPr>
                <w:rFonts w:ascii="Arial" w:hAnsi="Arial" w:cs="Arial"/>
                <w:sz w:val="20"/>
                <w:szCs w:val="20"/>
              </w:rPr>
              <w:t>Inexpensive</w:t>
            </w:r>
          </w:p>
        </w:tc>
        <w:tc>
          <w:tcPr>
            <w:tcW w:w="6445" w:type="dxa"/>
            <w:shd w:val="clear" w:color="auto" w:fill="E6E7E8"/>
            <w:hideMark/>
          </w:tcPr>
          <w:p w14:paraId="189DA765" w14:textId="77777777" w:rsidR="009F1AD6" w:rsidRPr="00BA1B7B" w:rsidRDefault="009F1AD6" w:rsidP="00D64801">
            <w:pPr>
              <w:pStyle w:val="TableParagraph"/>
              <w:spacing w:before="37"/>
              <w:ind w:left="1534"/>
              <w:rPr>
                <w:rFonts w:ascii="Arial" w:hAnsi="Arial" w:cs="Arial"/>
                <w:sz w:val="20"/>
                <w:szCs w:val="20"/>
              </w:rPr>
            </w:pPr>
            <w:r w:rsidRPr="00BA1B7B">
              <w:rPr>
                <w:rFonts w:ascii="Arial" w:hAnsi="Arial" w:cs="Arial"/>
                <w:sz w:val="20"/>
                <w:szCs w:val="20"/>
              </w:rPr>
              <w:t>High false positive rates</w:t>
            </w:r>
          </w:p>
        </w:tc>
      </w:tr>
      <w:tr w:rsidR="009F1AD6" w:rsidRPr="00BA1B7B" w14:paraId="61B5D63B" w14:textId="77777777" w:rsidTr="00D64801">
        <w:trPr>
          <w:trHeight w:val="377"/>
        </w:trPr>
        <w:tc>
          <w:tcPr>
            <w:tcW w:w="3534" w:type="dxa"/>
            <w:shd w:val="clear" w:color="auto" w:fill="E6E7E8"/>
            <w:hideMark/>
          </w:tcPr>
          <w:p w14:paraId="689F4DED" w14:textId="77777777" w:rsidR="009F1AD6" w:rsidRPr="00BA1B7B" w:rsidRDefault="009F1AD6" w:rsidP="00D64801">
            <w:pPr>
              <w:pStyle w:val="TableParagraph"/>
              <w:spacing w:before="71"/>
              <w:ind w:left="113"/>
              <w:rPr>
                <w:rFonts w:ascii="Arial" w:hAnsi="Arial" w:cs="Arial"/>
                <w:sz w:val="20"/>
                <w:szCs w:val="20"/>
              </w:rPr>
            </w:pPr>
            <w:r w:rsidRPr="00BA1B7B">
              <w:rPr>
                <w:rFonts w:ascii="Arial" w:hAnsi="Arial" w:cs="Arial"/>
                <w:sz w:val="20"/>
                <w:szCs w:val="20"/>
              </w:rPr>
              <w:t>Used in all settings</w:t>
            </w:r>
          </w:p>
        </w:tc>
        <w:tc>
          <w:tcPr>
            <w:tcW w:w="6445" w:type="dxa"/>
            <w:shd w:val="clear" w:color="auto" w:fill="E6E7E8"/>
            <w:hideMark/>
          </w:tcPr>
          <w:p w14:paraId="427D731C" w14:textId="77777777" w:rsidR="009F1AD6" w:rsidRPr="00BA1B7B" w:rsidRDefault="009F1AD6" w:rsidP="00D64801">
            <w:pPr>
              <w:pStyle w:val="TableParagraph"/>
              <w:spacing w:before="37"/>
              <w:ind w:left="1534"/>
              <w:rPr>
                <w:rFonts w:ascii="Arial" w:hAnsi="Arial" w:cs="Arial"/>
                <w:sz w:val="20"/>
                <w:szCs w:val="20"/>
              </w:rPr>
            </w:pPr>
            <w:r w:rsidRPr="00BA1B7B">
              <w:rPr>
                <w:rFonts w:ascii="Arial" w:hAnsi="Arial" w:cs="Arial"/>
                <w:sz w:val="20"/>
                <w:szCs w:val="20"/>
              </w:rPr>
              <w:t>High false negative rates</w:t>
            </w:r>
          </w:p>
        </w:tc>
      </w:tr>
      <w:tr w:rsidR="009F1AD6" w:rsidRPr="00BA1B7B" w14:paraId="68DF2B60" w14:textId="77777777" w:rsidTr="00D64801">
        <w:trPr>
          <w:trHeight w:val="360"/>
        </w:trPr>
        <w:tc>
          <w:tcPr>
            <w:tcW w:w="3534" w:type="dxa"/>
            <w:shd w:val="clear" w:color="auto" w:fill="E6E7E8"/>
          </w:tcPr>
          <w:p w14:paraId="17E88634" w14:textId="77777777" w:rsidR="009F1AD6" w:rsidRPr="00BA1B7B" w:rsidRDefault="009F1AD6" w:rsidP="00D64801">
            <w:pPr>
              <w:pStyle w:val="TableParagraph"/>
              <w:rPr>
                <w:rFonts w:ascii="Arial" w:hAnsi="Arial" w:cs="Arial"/>
                <w:sz w:val="20"/>
                <w:szCs w:val="20"/>
              </w:rPr>
            </w:pPr>
          </w:p>
        </w:tc>
        <w:tc>
          <w:tcPr>
            <w:tcW w:w="6445" w:type="dxa"/>
            <w:shd w:val="clear" w:color="auto" w:fill="E6E7E8"/>
            <w:hideMark/>
          </w:tcPr>
          <w:p w14:paraId="4E713A87" w14:textId="77777777" w:rsidR="009F1AD6" w:rsidRPr="00BA1B7B" w:rsidRDefault="009F1AD6" w:rsidP="00D64801">
            <w:pPr>
              <w:pStyle w:val="TableParagraph"/>
              <w:spacing w:before="37"/>
              <w:ind w:left="1534"/>
              <w:rPr>
                <w:rFonts w:ascii="Arial" w:hAnsi="Arial" w:cs="Arial"/>
                <w:sz w:val="20"/>
                <w:szCs w:val="20"/>
              </w:rPr>
            </w:pPr>
            <w:r w:rsidRPr="00BA1B7B">
              <w:rPr>
                <w:rFonts w:ascii="Arial" w:hAnsi="Arial" w:cs="Arial"/>
                <w:sz w:val="20"/>
                <w:szCs w:val="20"/>
              </w:rPr>
              <w:t>Clinician bias</w:t>
            </w:r>
          </w:p>
        </w:tc>
      </w:tr>
      <w:tr w:rsidR="009F1AD6" w:rsidRPr="00BA1B7B" w14:paraId="23125A2F" w14:textId="77777777" w:rsidTr="00D64801">
        <w:trPr>
          <w:trHeight w:val="377"/>
        </w:trPr>
        <w:tc>
          <w:tcPr>
            <w:tcW w:w="3534" w:type="dxa"/>
            <w:shd w:val="clear" w:color="auto" w:fill="E6E7E8"/>
          </w:tcPr>
          <w:p w14:paraId="548FF603" w14:textId="77777777" w:rsidR="009F1AD6" w:rsidRPr="00BA1B7B" w:rsidRDefault="009F1AD6" w:rsidP="00D64801">
            <w:pPr>
              <w:pStyle w:val="TableParagraph"/>
              <w:rPr>
                <w:rFonts w:ascii="Arial" w:hAnsi="Arial" w:cs="Arial"/>
                <w:sz w:val="20"/>
                <w:szCs w:val="20"/>
              </w:rPr>
            </w:pPr>
          </w:p>
        </w:tc>
        <w:tc>
          <w:tcPr>
            <w:tcW w:w="6445" w:type="dxa"/>
            <w:shd w:val="clear" w:color="auto" w:fill="E6E7E8"/>
            <w:hideMark/>
          </w:tcPr>
          <w:p w14:paraId="31DDBFC3" w14:textId="77777777" w:rsidR="009F1AD6" w:rsidRPr="00BA1B7B" w:rsidRDefault="009F1AD6" w:rsidP="00D64801">
            <w:pPr>
              <w:pStyle w:val="TableParagraph"/>
              <w:spacing w:before="54"/>
              <w:ind w:left="1534"/>
              <w:rPr>
                <w:rFonts w:ascii="Arial" w:hAnsi="Arial" w:cs="Arial"/>
                <w:sz w:val="20"/>
                <w:szCs w:val="20"/>
              </w:rPr>
            </w:pPr>
            <w:r w:rsidRPr="00BA1B7B">
              <w:rPr>
                <w:rFonts w:ascii="Arial" w:hAnsi="Arial" w:cs="Arial"/>
                <w:sz w:val="20"/>
                <w:szCs w:val="20"/>
              </w:rPr>
              <w:t>Non-standardized</w:t>
            </w:r>
          </w:p>
        </w:tc>
      </w:tr>
      <w:tr w:rsidR="009F1AD6" w:rsidRPr="00BA1B7B" w14:paraId="5D7C7D95" w14:textId="77777777" w:rsidTr="00D64801">
        <w:trPr>
          <w:trHeight w:val="433"/>
        </w:trPr>
        <w:tc>
          <w:tcPr>
            <w:tcW w:w="3534" w:type="dxa"/>
            <w:shd w:val="clear" w:color="auto" w:fill="E6E7E8"/>
          </w:tcPr>
          <w:p w14:paraId="121A7559" w14:textId="77777777" w:rsidR="009F1AD6" w:rsidRPr="00BA1B7B" w:rsidRDefault="009F1AD6" w:rsidP="00D64801">
            <w:pPr>
              <w:pStyle w:val="TableParagraph"/>
              <w:rPr>
                <w:rFonts w:ascii="Arial" w:hAnsi="Arial" w:cs="Arial"/>
                <w:sz w:val="20"/>
                <w:szCs w:val="20"/>
              </w:rPr>
            </w:pPr>
          </w:p>
        </w:tc>
        <w:tc>
          <w:tcPr>
            <w:tcW w:w="6445" w:type="dxa"/>
            <w:shd w:val="clear" w:color="auto" w:fill="E6E7E8"/>
            <w:hideMark/>
          </w:tcPr>
          <w:p w14:paraId="1C149A9F" w14:textId="77777777" w:rsidR="009F1AD6" w:rsidRPr="00BA1B7B" w:rsidRDefault="009F1AD6" w:rsidP="00D64801">
            <w:pPr>
              <w:pStyle w:val="TableParagraph"/>
              <w:spacing w:before="54"/>
              <w:ind w:left="1534"/>
              <w:rPr>
                <w:rFonts w:ascii="Arial" w:hAnsi="Arial" w:cs="Arial"/>
                <w:sz w:val="20"/>
                <w:szCs w:val="20"/>
              </w:rPr>
            </w:pPr>
            <w:r w:rsidRPr="00BA1B7B">
              <w:rPr>
                <w:rFonts w:ascii="Arial" w:hAnsi="Arial" w:cs="Arial"/>
                <w:sz w:val="20"/>
                <w:szCs w:val="20"/>
              </w:rPr>
              <w:t>Intra- and inter observer error</w:t>
            </w:r>
          </w:p>
        </w:tc>
      </w:tr>
    </w:tbl>
    <w:p w14:paraId="59439691" w14:textId="77777777" w:rsidR="00096B39" w:rsidRDefault="00096B39" w:rsidP="009F1AD6">
      <w:pPr>
        <w:spacing w:before="96" w:line="247" w:lineRule="auto"/>
        <w:rPr>
          <w:rFonts w:ascii="Arial" w:hAnsi="Arial" w:cs="Arial"/>
          <w:color w:val="002F86" w:themeColor="text1"/>
          <w:sz w:val="20"/>
          <w:szCs w:val="20"/>
        </w:rPr>
      </w:pPr>
    </w:p>
    <w:p w14:paraId="0BEAA356" w14:textId="1A0BFF08" w:rsidR="009F1AD6" w:rsidRPr="00BA1B7B" w:rsidRDefault="009F1AD6" w:rsidP="009F1AD6">
      <w:pPr>
        <w:spacing w:before="96" w:line="247" w:lineRule="auto"/>
        <w:rPr>
          <w:rFonts w:ascii="Arial" w:hAnsi="Arial" w:cs="Arial"/>
          <w:sz w:val="20"/>
          <w:szCs w:val="20"/>
        </w:rPr>
      </w:pPr>
      <w:r w:rsidRPr="00BA1B7B">
        <w:rPr>
          <w:rFonts w:ascii="Arial" w:hAnsi="Arial" w:cs="Arial"/>
          <w:sz w:val="20"/>
          <w:szCs w:val="20"/>
        </w:rPr>
        <w:t>Symphyseal fundal height measurements should be serially plotted on a growth chart so that any changes over time can be appreciated.</w:t>
      </w:r>
    </w:p>
    <w:p w14:paraId="4388C46D" w14:textId="77777777" w:rsidR="009F1AD6" w:rsidRPr="00BA1B7B" w:rsidRDefault="009F1AD6" w:rsidP="009F1AD6">
      <w:pPr>
        <w:spacing w:before="96" w:line="247" w:lineRule="auto"/>
        <w:rPr>
          <w:rFonts w:ascii="Arial" w:hAnsi="Arial" w:cs="Arial"/>
          <w:sz w:val="20"/>
          <w:szCs w:val="20"/>
        </w:rPr>
      </w:pPr>
    </w:p>
    <w:p w14:paraId="70E46D8D" w14:textId="77777777" w:rsidR="009F1AD6" w:rsidRPr="00BA1B7B" w:rsidRDefault="009F1AD6" w:rsidP="009F1AD6">
      <w:pPr>
        <w:pStyle w:val="NormalWeb"/>
        <w:kinsoku w:val="0"/>
        <w:overflowPunct w:val="0"/>
        <w:spacing w:before="0" w:beforeAutospacing="0" w:after="0" w:afterAutospacing="0"/>
        <w:textAlignment w:val="baseline"/>
        <w:rPr>
          <w:rFonts w:ascii="Arial" w:hAnsi="Arial" w:cs="Arial"/>
          <w:sz w:val="20"/>
          <w:szCs w:val="20"/>
        </w:rPr>
      </w:pPr>
      <w:r w:rsidRPr="00BA1B7B">
        <w:rPr>
          <w:rFonts w:ascii="Arial" w:hAnsi="Arial" w:cs="Arial"/>
          <w:sz w:val="20"/>
          <w:szCs w:val="20"/>
        </w:rPr>
        <w:t xml:space="preserve">There are many different growth charts available, for example, population and customised, though there is no international consensus on which chart to use. At Eastern Health we use </w:t>
      </w:r>
      <w:r w:rsidRPr="00BA1B7B">
        <w:rPr>
          <w:rFonts w:ascii="Arial" w:eastAsiaTheme="minorEastAsia" w:hAnsi="Arial" w:cs="Arial"/>
          <w:kern w:val="24"/>
          <w:sz w:val="20"/>
          <w:szCs w:val="20"/>
        </w:rPr>
        <w:t xml:space="preserve">Intergrowth 21 International SFH Standards Chart, which can be found in the Eastern Health Maternity Hand Held Record given to women at Booking or </w:t>
      </w:r>
      <w:r w:rsidRPr="00BA1B7B">
        <w:rPr>
          <w:rFonts w:ascii="Arial" w:hAnsi="Arial" w:cs="Arial"/>
          <w:sz w:val="20"/>
          <w:szCs w:val="20"/>
        </w:rPr>
        <w:fldChar w:fldCharType="begin"/>
      </w:r>
      <w:r w:rsidRPr="00BA1B7B">
        <w:rPr>
          <w:rFonts w:ascii="Arial" w:hAnsi="Arial" w:cs="Arial"/>
          <w:sz w:val="20"/>
          <w:szCs w:val="20"/>
        </w:rPr>
        <w:instrText xml:space="preserve"> HYPERLINK "" </w:instrText>
      </w:r>
      <w:r w:rsidRPr="00BA1B7B">
        <w:rPr>
          <w:rFonts w:ascii="Arial" w:hAnsi="Arial" w:cs="Arial"/>
          <w:sz w:val="20"/>
          <w:szCs w:val="20"/>
        </w:rPr>
        <w:fldChar w:fldCharType="separate"/>
      </w:r>
      <w:r w:rsidRPr="00BA1B7B">
        <w:rPr>
          <w:rFonts w:ascii="Arial" w:hAnsi="Arial" w:cs="Arial"/>
          <w:b/>
          <w:bCs/>
          <w:sz w:val="20"/>
          <w:szCs w:val="20"/>
          <w:lang w:val="en-US"/>
        </w:rPr>
        <w:t>Error! Hyperlink reference not valid.</w:t>
      </w:r>
      <w:r w:rsidRPr="00BA1B7B">
        <w:rPr>
          <w:rFonts w:ascii="Arial" w:hAnsi="Arial" w:cs="Arial"/>
          <w:sz w:val="20"/>
          <w:szCs w:val="20"/>
        </w:rPr>
        <w:fldChar w:fldCharType="end"/>
      </w:r>
    </w:p>
    <w:p w14:paraId="1AB0CA47" w14:textId="175501F7" w:rsidR="00603877" w:rsidRPr="00BA1B7B" w:rsidRDefault="00603877" w:rsidP="009F1AD6">
      <w:pPr>
        <w:pStyle w:val="NormalWeb"/>
        <w:kinsoku w:val="0"/>
        <w:overflowPunct w:val="0"/>
        <w:spacing w:before="0" w:beforeAutospacing="0" w:after="0" w:afterAutospacing="0"/>
        <w:textAlignment w:val="baseline"/>
        <w:rPr>
          <w:rFonts w:ascii="Arial" w:eastAsiaTheme="minorEastAsia" w:hAnsi="Arial" w:cs="Arial"/>
          <w:b/>
          <w:kern w:val="24"/>
          <w:sz w:val="20"/>
          <w:szCs w:val="20"/>
        </w:rPr>
      </w:pPr>
    </w:p>
    <w:p w14:paraId="0B4CC303" w14:textId="77777777" w:rsidR="00603877" w:rsidRPr="00BA1B7B" w:rsidRDefault="00603877" w:rsidP="009F1AD6">
      <w:pPr>
        <w:pStyle w:val="NormalWeb"/>
        <w:kinsoku w:val="0"/>
        <w:overflowPunct w:val="0"/>
        <w:spacing w:before="0" w:beforeAutospacing="0" w:after="0" w:afterAutospacing="0"/>
        <w:textAlignment w:val="baseline"/>
        <w:rPr>
          <w:rFonts w:ascii="Arial" w:eastAsiaTheme="minorEastAsia" w:hAnsi="Arial" w:cs="Arial"/>
          <w:b/>
          <w:kern w:val="24"/>
          <w:sz w:val="20"/>
          <w:szCs w:val="20"/>
        </w:rPr>
      </w:pPr>
    </w:p>
    <w:p w14:paraId="1AE20CEE" w14:textId="77777777" w:rsidR="009F1AD6" w:rsidRPr="00BA1B7B" w:rsidRDefault="009F1AD6" w:rsidP="009F1AD6">
      <w:pPr>
        <w:pStyle w:val="NormalWeb"/>
        <w:kinsoku w:val="0"/>
        <w:overflowPunct w:val="0"/>
        <w:spacing w:before="0" w:beforeAutospacing="0" w:after="0" w:afterAutospacing="0"/>
        <w:textAlignment w:val="baseline"/>
        <w:rPr>
          <w:rFonts w:ascii="Arial" w:hAnsi="Arial" w:cs="Arial"/>
          <w:b/>
          <w:sz w:val="20"/>
          <w:szCs w:val="20"/>
        </w:rPr>
      </w:pPr>
      <w:r w:rsidRPr="00BA1B7B">
        <w:rPr>
          <w:rFonts w:ascii="Arial" w:eastAsiaTheme="minorEastAsia" w:hAnsi="Arial" w:cs="Arial"/>
          <w:b/>
          <w:kern w:val="24"/>
          <w:sz w:val="20"/>
          <w:szCs w:val="20"/>
        </w:rPr>
        <w:t>Normal growth trajectory</w:t>
      </w:r>
    </w:p>
    <w:p w14:paraId="6D16BAD5" w14:textId="77777777" w:rsidR="009F1AD6" w:rsidRPr="005E6595" w:rsidRDefault="009F1AD6" w:rsidP="009F1AD6">
      <w:pPr>
        <w:spacing w:before="21"/>
        <w:rPr>
          <w:rFonts w:ascii="Arial" w:hAnsi="Arial" w:cs="Arial"/>
          <w:color w:val="002F86" w:themeColor="text1"/>
          <w:w w:val="105"/>
          <w:sz w:val="20"/>
          <w:szCs w:val="20"/>
        </w:rPr>
      </w:pPr>
      <w:r w:rsidRPr="005E6595">
        <w:rPr>
          <w:rFonts w:ascii="Arial" w:hAnsi="Arial" w:cs="Arial"/>
          <w:noProof/>
          <w:color w:val="002F86" w:themeColor="text1"/>
          <w:w w:val="105"/>
          <w:sz w:val="20"/>
          <w:szCs w:val="20"/>
          <w:lang w:eastAsia="en-AU"/>
        </w:rPr>
        <w:drawing>
          <wp:inline distT="0" distB="0" distL="0" distR="0" wp14:anchorId="4C6BE30E" wp14:editId="61F26700">
            <wp:extent cx="4498975" cy="2603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98975" cy="2603500"/>
                    </a:xfrm>
                    <a:prstGeom prst="rect">
                      <a:avLst/>
                    </a:prstGeom>
                    <a:noFill/>
                  </pic:spPr>
                </pic:pic>
              </a:graphicData>
            </a:graphic>
          </wp:inline>
        </w:drawing>
      </w:r>
    </w:p>
    <w:p w14:paraId="6C52D0E6" w14:textId="77777777" w:rsidR="004A22FD" w:rsidRDefault="004A22FD" w:rsidP="009F1AD6">
      <w:pPr>
        <w:spacing w:before="96" w:line="247" w:lineRule="auto"/>
        <w:ind w:left="121"/>
        <w:rPr>
          <w:rFonts w:ascii="Arial" w:hAnsi="Arial" w:cs="Arial"/>
          <w:b/>
          <w:color w:val="002F86" w:themeColor="text1"/>
          <w:w w:val="105"/>
          <w:sz w:val="20"/>
          <w:szCs w:val="20"/>
        </w:rPr>
      </w:pPr>
    </w:p>
    <w:p w14:paraId="594FB126" w14:textId="2D854272" w:rsidR="009F1AD6" w:rsidRPr="00BA1B7B" w:rsidRDefault="009F1AD6" w:rsidP="007A499C">
      <w:pPr>
        <w:spacing w:before="96" w:line="247" w:lineRule="auto"/>
        <w:rPr>
          <w:rFonts w:ascii="Arial" w:hAnsi="Arial" w:cs="Arial"/>
          <w:b/>
          <w:sz w:val="20"/>
          <w:szCs w:val="20"/>
        </w:rPr>
      </w:pPr>
      <w:r w:rsidRPr="00BA1B7B">
        <w:rPr>
          <w:rFonts w:ascii="Arial" w:hAnsi="Arial" w:cs="Arial"/>
          <w:b/>
          <w:w w:val="105"/>
          <w:sz w:val="20"/>
          <w:szCs w:val="20"/>
        </w:rPr>
        <w:t>Growth chart utilisation</w:t>
      </w:r>
    </w:p>
    <w:p w14:paraId="614BDF76" w14:textId="77777777" w:rsidR="009F1AD6" w:rsidRPr="00BA1B7B" w:rsidRDefault="009F1AD6" w:rsidP="009F1AD6">
      <w:pPr>
        <w:pStyle w:val="BodyText"/>
        <w:spacing w:before="143" w:line="232" w:lineRule="auto"/>
        <w:ind w:right="1159"/>
        <w:rPr>
          <w:rFonts w:ascii="Arial" w:hAnsi="Arial" w:cs="Arial"/>
          <w:sz w:val="20"/>
          <w:szCs w:val="20"/>
        </w:rPr>
      </w:pPr>
      <w:r w:rsidRPr="00BA1B7B">
        <w:rPr>
          <w:rFonts w:ascii="Arial" w:hAnsi="Arial" w:cs="Arial"/>
          <w:sz w:val="20"/>
          <w:szCs w:val="20"/>
        </w:rPr>
        <w:t>Abdominal palpation alone should not be used for assessment of fetal size and/or growth (Australian Government Department of Health, 2018) and therefore ultrasound assessment of fetal growth should be considered if:</w:t>
      </w:r>
    </w:p>
    <w:p w14:paraId="36C897D8" w14:textId="77777777" w:rsidR="009F1AD6" w:rsidRPr="00BA1B7B" w:rsidRDefault="009F1AD6" w:rsidP="004A22FD">
      <w:pPr>
        <w:pStyle w:val="ListParagraph"/>
        <w:widowControl w:val="0"/>
        <w:numPr>
          <w:ilvl w:val="0"/>
          <w:numId w:val="29"/>
        </w:numPr>
        <w:tabs>
          <w:tab w:val="left" w:pos="2224"/>
        </w:tabs>
        <w:autoSpaceDE w:val="0"/>
        <w:autoSpaceDN w:val="0"/>
        <w:spacing w:before="55" w:after="0" w:line="240" w:lineRule="auto"/>
        <w:contextualSpacing w:val="0"/>
        <w:rPr>
          <w:rFonts w:ascii="Arial" w:hAnsi="Arial" w:cs="Arial"/>
          <w:sz w:val="20"/>
          <w:szCs w:val="20"/>
        </w:rPr>
      </w:pPr>
      <w:r w:rsidRPr="00BA1B7B">
        <w:rPr>
          <w:rFonts w:ascii="Arial" w:hAnsi="Arial" w:cs="Arial"/>
          <w:sz w:val="20"/>
          <w:szCs w:val="20"/>
        </w:rPr>
        <w:t>SFH &lt;10</w:t>
      </w:r>
      <w:r w:rsidRPr="00BA1B7B">
        <w:rPr>
          <w:rFonts w:ascii="Arial" w:hAnsi="Arial" w:cs="Arial"/>
          <w:position w:val="7"/>
          <w:sz w:val="20"/>
          <w:szCs w:val="20"/>
        </w:rPr>
        <w:t>th</w:t>
      </w:r>
      <w:r w:rsidRPr="00BA1B7B">
        <w:rPr>
          <w:rFonts w:ascii="Arial" w:hAnsi="Arial" w:cs="Arial"/>
          <w:spacing w:val="18"/>
          <w:position w:val="7"/>
          <w:sz w:val="20"/>
          <w:szCs w:val="20"/>
        </w:rPr>
        <w:t xml:space="preserve"> </w:t>
      </w:r>
      <w:r w:rsidRPr="00BA1B7B">
        <w:rPr>
          <w:rFonts w:ascii="Arial" w:hAnsi="Arial" w:cs="Arial"/>
          <w:sz w:val="20"/>
          <w:szCs w:val="20"/>
        </w:rPr>
        <w:t>centile</w:t>
      </w:r>
    </w:p>
    <w:p w14:paraId="48761B7A" w14:textId="77777777" w:rsidR="009F1AD6" w:rsidRPr="00BA1B7B" w:rsidRDefault="009F1AD6" w:rsidP="004A22FD">
      <w:pPr>
        <w:pStyle w:val="ListParagraph"/>
        <w:widowControl w:val="0"/>
        <w:numPr>
          <w:ilvl w:val="0"/>
          <w:numId w:val="29"/>
        </w:numPr>
        <w:tabs>
          <w:tab w:val="left" w:pos="2224"/>
        </w:tabs>
        <w:autoSpaceDE w:val="0"/>
        <w:autoSpaceDN w:val="0"/>
        <w:spacing w:before="52" w:after="0" w:line="240" w:lineRule="auto"/>
        <w:contextualSpacing w:val="0"/>
        <w:rPr>
          <w:rFonts w:ascii="Arial" w:hAnsi="Arial" w:cs="Arial"/>
          <w:sz w:val="20"/>
          <w:szCs w:val="20"/>
        </w:rPr>
      </w:pPr>
      <w:r w:rsidRPr="00BA1B7B">
        <w:rPr>
          <w:rFonts w:ascii="Arial" w:hAnsi="Arial" w:cs="Arial"/>
          <w:sz w:val="20"/>
          <w:szCs w:val="20"/>
        </w:rPr>
        <w:t>Static</w:t>
      </w:r>
      <w:r w:rsidRPr="00BA1B7B">
        <w:rPr>
          <w:rFonts w:ascii="Arial" w:hAnsi="Arial" w:cs="Arial"/>
          <w:spacing w:val="-2"/>
          <w:sz w:val="20"/>
          <w:szCs w:val="20"/>
        </w:rPr>
        <w:t xml:space="preserve"> </w:t>
      </w:r>
      <w:r w:rsidRPr="00BA1B7B">
        <w:rPr>
          <w:rFonts w:ascii="Arial" w:hAnsi="Arial" w:cs="Arial"/>
          <w:sz w:val="20"/>
          <w:szCs w:val="20"/>
        </w:rPr>
        <w:t>growth</w:t>
      </w:r>
    </w:p>
    <w:p w14:paraId="7608E146" w14:textId="77777777" w:rsidR="009F1AD6" w:rsidRPr="00BA1B7B" w:rsidRDefault="009F1AD6" w:rsidP="004A22FD">
      <w:pPr>
        <w:pStyle w:val="ListParagraph"/>
        <w:widowControl w:val="0"/>
        <w:numPr>
          <w:ilvl w:val="0"/>
          <w:numId w:val="29"/>
        </w:numPr>
        <w:tabs>
          <w:tab w:val="left" w:pos="2224"/>
        </w:tabs>
        <w:autoSpaceDE w:val="0"/>
        <w:autoSpaceDN w:val="0"/>
        <w:spacing w:before="53" w:after="0" w:line="240" w:lineRule="auto"/>
        <w:contextualSpacing w:val="0"/>
        <w:rPr>
          <w:rFonts w:ascii="Arial" w:hAnsi="Arial" w:cs="Arial"/>
          <w:sz w:val="20"/>
          <w:szCs w:val="20"/>
        </w:rPr>
      </w:pPr>
      <w:r w:rsidRPr="00BA1B7B">
        <w:rPr>
          <w:rFonts w:ascii="Arial" w:hAnsi="Arial" w:cs="Arial"/>
          <w:sz w:val="20"/>
          <w:szCs w:val="20"/>
        </w:rPr>
        <w:t>Slow</w:t>
      </w:r>
      <w:r w:rsidRPr="00BA1B7B">
        <w:rPr>
          <w:rFonts w:ascii="Arial" w:hAnsi="Arial" w:cs="Arial"/>
          <w:spacing w:val="-1"/>
          <w:sz w:val="20"/>
          <w:szCs w:val="20"/>
        </w:rPr>
        <w:t xml:space="preserve"> </w:t>
      </w:r>
      <w:r w:rsidRPr="00BA1B7B">
        <w:rPr>
          <w:rFonts w:ascii="Arial" w:hAnsi="Arial" w:cs="Arial"/>
          <w:sz w:val="20"/>
          <w:szCs w:val="20"/>
        </w:rPr>
        <w:t>growth</w:t>
      </w:r>
    </w:p>
    <w:p w14:paraId="4DB71EFC" w14:textId="77777777" w:rsidR="009F1AD6" w:rsidRPr="00BA1B7B" w:rsidRDefault="009F1AD6" w:rsidP="009F1AD6">
      <w:pPr>
        <w:pStyle w:val="BodyText"/>
        <w:spacing w:before="56" w:line="232" w:lineRule="auto"/>
        <w:ind w:right="1189"/>
        <w:jc w:val="both"/>
        <w:rPr>
          <w:rFonts w:ascii="Arial" w:hAnsi="Arial" w:cs="Arial"/>
          <w:sz w:val="20"/>
          <w:szCs w:val="20"/>
          <w:u w:val="single"/>
        </w:rPr>
      </w:pPr>
      <w:r w:rsidRPr="00BA1B7B">
        <w:rPr>
          <w:rFonts w:ascii="Arial" w:hAnsi="Arial" w:cs="Arial"/>
          <w:sz w:val="20"/>
          <w:szCs w:val="20"/>
        </w:rPr>
        <w:t>There is no set parameters/rule to define what slow growth is. It is important to be on the lookout</w:t>
      </w:r>
      <w:r w:rsidRPr="00BA1B7B">
        <w:rPr>
          <w:rFonts w:ascii="Arial" w:hAnsi="Arial" w:cs="Arial"/>
          <w:spacing w:val="-4"/>
          <w:sz w:val="20"/>
          <w:szCs w:val="20"/>
        </w:rPr>
        <w:t xml:space="preserve"> </w:t>
      </w:r>
      <w:r w:rsidRPr="00BA1B7B">
        <w:rPr>
          <w:rFonts w:ascii="Arial" w:hAnsi="Arial" w:cs="Arial"/>
          <w:sz w:val="20"/>
          <w:szCs w:val="20"/>
        </w:rPr>
        <w:t>for</w:t>
      </w:r>
      <w:r w:rsidRPr="00BA1B7B">
        <w:rPr>
          <w:rFonts w:ascii="Arial" w:hAnsi="Arial" w:cs="Arial"/>
          <w:spacing w:val="-4"/>
          <w:sz w:val="20"/>
          <w:szCs w:val="20"/>
        </w:rPr>
        <w:t xml:space="preserve"> </w:t>
      </w:r>
      <w:r w:rsidRPr="00BA1B7B">
        <w:rPr>
          <w:rFonts w:ascii="Arial" w:hAnsi="Arial" w:cs="Arial"/>
          <w:sz w:val="20"/>
          <w:szCs w:val="20"/>
        </w:rPr>
        <w:t>a</w:t>
      </w:r>
      <w:r w:rsidRPr="00BA1B7B">
        <w:rPr>
          <w:rFonts w:ascii="Arial" w:hAnsi="Arial" w:cs="Arial"/>
          <w:spacing w:val="-3"/>
          <w:sz w:val="20"/>
          <w:szCs w:val="20"/>
        </w:rPr>
        <w:t xml:space="preserve"> </w:t>
      </w:r>
      <w:r w:rsidRPr="00BA1B7B">
        <w:rPr>
          <w:rFonts w:ascii="Arial" w:hAnsi="Arial" w:cs="Arial"/>
          <w:sz w:val="20"/>
          <w:szCs w:val="20"/>
        </w:rPr>
        <w:t>trend</w:t>
      </w:r>
      <w:r w:rsidRPr="00BA1B7B">
        <w:rPr>
          <w:rFonts w:ascii="Arial" w:hAnsi="Arial" w:cs="Arial"/>
          <w:spacing w:val="-3"/>
          <w:sz w:val="20"/>
          <w:szCs w:val="20"/>
        </w:rPr>
        <w:t xml:space="preserve"> </w:t>
      </w:r>
      <w:r w:rsidRPr="00BA1B7B">
        <w:rPr>
          <w:rFonts w:ascii="Arial" w:hAnsi="Arial" w:cs="Arial"/>
          <w:sz w:val="20"/>
          <w:szCs w:val="20"/>
        </w:rPr>
        <w:t>that</w:t>
      </w:r>
      <w:r w:rsidRPr="00BA1B7B">
        <w:rPr>
          <w:rFonts w:ascii="Arial" w:hAnsi="Arial" w:cs="Arial"/>
          <w:spacing w:val="-3"/>
          <w:sz w:val="20"/>
          <w:szCs w:val="20"/>
        </w:rPr>
        <w:t xml:space="preserve"> </w:t>
      </w:r>
      <w:r w:rsidRPr="00BA1B7B">
        <w:rPr>
          <w:rFonts w:ascii="Arial" w:hAnsi="Arial" w:cs="Arial"/>
          <w:sz w:val="20"/>
          <w:szCs w:val="20"/>
        </w:rPr>
        <w:t>is static or</w:t>
      </w:r>
      <w:r w:rsidRPr="00BA1B7B">
        <w:rPr>
          <w:rFonts w:ascii="Arial" w:hAnsi="Arial" w:cs="Arial"/>
          <w:spacing w:val="-4"/>
          <w:sz w:val="20"/>
          <w:szCs w:val="20"/>
        </w:rPr>
        <w:t xml:space="preserve"> </w:t>
      </w:r>
      <w:r w:rsidRPr="00BA1B7B">
        <w:rPr>
          <w:rFonts w:ascii="Arial" w:hAnsi="Arial" w:cs="Arial"/>
          <w:sz w:val="20"/>
          <w:szCs w:val="20"/>
        </w:rPr>
        <w:t>headed</w:t>
      </w:r>
      <w:r w:rsidRPr="00BA1B7B">
        <w:rPr>
          <w:rFonts w:ascii="Arial" w:hAnsi="Arial" w:cs="Arial"/>
          <w:spacing w:val="-3"/>
          <w:sz w:val="20"/>
          <w:szCs w:val="20"/>
        </w:rPr>
        <w:t xml:space="preserve"> </w:t>
      </w:r>
      <w:r w:rsidRPr="00BA1B7B">
        <w:rPr>
          <w:rFonts w:ascii="Arial" w:hAnsi="Arial" w:cs="Arial"/>
          <w:sz w:val="20"/>
          <w:szCs w:val="20"/>
        </w:rPr>
        <w:t>down.</w:t>
      </w:r>
      <w:r w:rsidRPr="00BA1B7B">
        <w:rPr>
          <w:rFonts w:ascii="Arial" w:hAnsi="Arial" w:cs="Arial"/>
          <w:spacing w:val="-3"/>
          <w:sz w:val="20"/>
          <w:szCs w:val="20"/>
        </w:rPr>
        <w:t xml:space="preserve">  </w:t>
      </w:r>
    </w:p>
    <w:p w14:paraId="052C7A66" w14:textId="77777777" w:rsidR="009F1AD6" w:rsidRPr="00BA1B7B" w:rsidRDefault="009F1AD6" w:rsidP="009F1AD6">
      <w:pPr>
        <w:pStyle w:val="BodyText"/>
        <w:spacing w:before="116" w:line="232" w:lineRule="auto"/>
        <w:ind w:right="1008"/>
        <w:jc w:val="center"/>
        <w:rPr>
          <w:rFonts w:ascii="Arial" w:hAnsi="Arial" w:cs="Arial"/>
          <w:b/>
          <w:sz w:val="20"/>
          <w:szCs w:val="20"/>
        </w:rPr>
      </w:pPr>
      <w:r w:rsidRPr="00BA1B7B">
        <w:rPr>
          <w:rFonts w:ascii="Arial" w:hAnsi="Arial" w:cs="Arial"/>
          <w:b/>
          <w:spacing w:val="-3"/>
          <w:sz w:val="20"/>
          <w:szCs w:val="20"/>
        </w:rPr>
        <w:t>NB: In women</w:t>
      </w:r>
      <w:r w:rsidRPr="00BA1B7B">
        <w:rPr>
          <w:rFonts w:ascii="Arial" w:hAnsi="Arial" w:cs="Arial"/>
          <w:b/>
          <w:spacing w:val="-5"/>
          <w:sz w:val="20"/>
          <w:szCs w:val="20"/>
        </w:rPr>
        <w:t xml:space="preserve"> </w:t>
      </w:r>
      <w:r w:rsidRPr="00BA1B7B">
        <w:rPr>
          <w:rFonts w:ascii="Arial" w:hAnsi="Arial" w:cs="Arial"/>
          <w:b/>
          <w:sz w:val="20"/>
          <w:szCs w:val="20"/>
        </w:rPr>
        <w:t>with</w:t>
      </w:r>
      <w:r w:rsidRPr="00BA1B7B">
        <w:rPr>
          <w:rFonts w:ascii="Arial" w:hAnsi="Arial" w:cs="Arial"/>
          <w:b/>
          <w:spacing w:val="-3"/>
          <w:sz w:val="20"/>
          <w:szCs w:val="20"/>
        </w:rPr>
        <w:t xml:space="preserve"> </w:t>
      </w:r>
      <w:r w:rsidRPr="00BA1B7B">
        <w:rPr>
          <w:rFonts w:ascii="Arial" w:hAnsi="Arial" w:cs="Arial"/>
          <w:b/>
          <w:sz w:val="20"/>
          <w:szCs w:val="20"/>
        </w:rPr>
        <w:t>a</w:t>
      </w:r>
      <w:r w:rsidRPr="00BA1B7B">
        <w:rPr>
          <w:rFonts w:ascii="Arial" w:hAnsi="Arial" w:cs="Arial"/>
          <w:b/>
          <w:spacing w:val="-4"/>
          <w:sz w:val="20"/>
          <w:szCs w:val="20"/>
        </w:rPr>
        <w:t xml:space="preserve"> </w:t>
      </w:r>
      <w:r w:rsidRPr="00BA1B7B">
        <w:rPr>
          <w:rFonts w:ascii="Arial" w:hAnsi="Arial" w:cs="Arial"/>
          <w:b/>
          <w:sz w:val="20"/>
          <w:szCs w:val="20"/>
        </w:rPr>
        <w:t>BMI</w:t>
      </w:r>
      <w:r w:rsidRPr="00BA1B7B">
        <w:rPr>
          <w:rFonts w:ascii="Arial" w:hAnsi="Arial" w:cs="Arial"/>
          <w:b/>
          <w:spacing w:val="-4"/>
          <w:sz w:val="20"/>
          <w:szCs w:val="20"/>
        </w:rPr>
        <w:t xml:space="preserve"> &gt;35 or</w:t>
      </w:r>
      <w:r w:rsidRPr="00BA1B7B">
        <w:rPr>
          <w:rFonts w:ascii="Arial" w:hAnsi="Arial" w:cs="Arial"/>
          <w:b/>
          <w:spacing w:val="-3"/>
          <w:sz w:val="20"/>
          <w:szCs w:val="20"/>
        </w:rPr>
        <w:t xml:space="preserve"> </w:t>
      </w:r>
      <w:r w:rsidRPr="00BA1B7B">
        <w:rPr>
          <w:rFonts w:ascii="Arial" w:hAnsi="Arial" w:cs="Arial"/>
          <w:b/>
          <w:sz w:val="20"/>
          <w:szCs w:val="20"/>
        </w:rPr>
        <w:t>uterine</w:t>
      </w:r>
      <w:r w:rsidRPr="00BA1B7B">
        <w:rPr>
          <w:rFonts w:ascii="Arial" w:hAnsi="Arial" w:cs="Arial"/>
          <w:b/>
          <w:spacing w:val="-3"/>
          <w:sz w:val="20"/>
          <w:szCs w:val="20"/>
        </w:rPr>
        <w:t xml:space="preserve"> </w:t>
      </w:r>
      <w:r w:rsidRPr="00BA1B7B">
        <w:rPr>
          <w:rFonts w:ascii="Arial" w:hAnsi="Arial" w:cs="Arial"/>
          <w:b/>
          <w:sz w:val="20"/>
          <w:szCs w:val="20"/>
        </w:rPr>
        <w:t>fibroids</w:t>
      </w:r>
      <w:r w:rsidRPr="00BA1B7B">
        <w:rPr>
          <w:rFonts w:ascii="Arial" w:hAnsi="Arial" w:cs="Arial"/>
          <w:b/>
          <w:spacing w:val="-4"/>
          <w:sz w:val="20"/>
          <w:szCs w:val="20"/>
        </w:rPr>
        <w:t xml:space="preserve"> </w:t>
      </w:r>
      <w:r w:rsidRPr="00BA1B7B">
        <w:rPr>
          <w:rFonts w:ascii="Arial" w:hAnsi="Arial" w:cs="Arial"/>
          <w:b/>
          <w:sz w:val="20"/>
          <w:szCs w:val="20"/>
        </w:rPr>
        <w:t>SFH</w:t>
      </w:r>
      <w:r w:rsidRPr="00BA1B7B">
        <w:rPr>
          <w:rFonts w:ascii="Arial" w:hAnsi="Arial" w:cs="Arial"/>
          <w:b/>
          <w:spacing w:val="-4"/>
          <w:sz w:val="20"/>
          <w:szCs w:val="20"/>
        </w:rPr>
        <w:t xml:space="preserve"> can still be undertaken however, </w:t>
      </w:r>
      <w:r w:rsidRPr="00BA1B7B">
        <w:rPr>
          <w:rFonts w:ascii="Arial" w:hAnsi="Arial" w:cs="Arial"/>
          <w:b/>
          <w:spacing w:val="-3"/>
          <w:sz w:val="20"/>
          <w:szCs w:val="20"/>
        </w:rPr>
        <w:t>fetal</w:t>
      </w:r>
      <w:r w:rsidRPr="00BA1B7B">
        <w:rPr>
          <w:rFonts w:ascii="Arial" w:hAnsi="Arial" w:cs="Arial"/>
          <w:b/>
          <w:spacing w:val="-4"/>
          <w:sz w:val="20"/>
          <w:szCs w:val="20"/>
        </w:rPr>
        <w:t xml:space="preserve"> </w:t>
      </w:r>
      <w:r w:rsidRPr="00BA1B7B">
        <w:rPr>
          <w:rFonts w:ascii="Arial" w:hAnsi="Arial" w:cs="Arial"/>
          <w:b/>
          <w:sz w:val="20"/>
          <w:szCs w:val="20"/>
        </w:rPr>
        <w:t>growth</w:t>
      </w:r>
      <w:r w:rsidRPr="00BA1B7B">
        <w:rPr>
          <w:rFonts w:ascii="Arial" w:hAnsi="Arial" w:cs="Arial"/>
          <w:b/>
          <w:spacing w:val="-3"/>
          <w:sz w:val="20"/>
          <w:szCs w:val="20"/>
        </w:rPr>
        <w:t xml:space="preserve"> </w:t>
      </w:r>
      <w:r w:rsidRPr="00BA1B7B">
        <w:rPr>
          <w:rFonts w:ascii="Arial" w:hAnsi="Arial" w:cs="Arial"/>
          <w:b/>
          <w:sz w:val="20"/>
          <w:szCs w:val="20"/>
        </w:rPr>
        <w:t xml:space="preserve">should also be assessed by ultrasound as per EH guidelines and is the preferred method of assessing </w:t>
      </w:r>
      <w:r w:rsidRPr="00BA1B7B">
        <w:rPr>
          <w:rFonts w:ascii="Arial" w:hAnsi="Arial" w:cs="Arial"/>
          <w:b/>
          <w:spacing w:val="-3"/>
          <w:sz w:val="20"/>
          <w:szCs w:val="20"/>
        </w:rPr>
        <w:t>fetal</w:t>
      </w:r>
      <w:r w:rsidRPr="00BA1B7B">
        <w:rPr>
          <w:rFonts w:ascii="Arial" w:hAnsi="Arial" w:cs="Arial"/>
          <w:b/>
          <w:spacing w:val="-7"/>
          <w:sz w:val="20"/>
          <w:szCs w:val="20"/>
        </w:rPr>
        <w:t xml:space="preserve"> </w:t>
      </w:r>
      <w:r w:rsidRPr="00BA1B7B">
        <w:rPr>
          <w:rFonts w:ascii="Arial" w:hAnsi="Arial" w:cs="Arial"/>
          <w:b/>
          <w:sz w:val="20"/>
          <w:szCs w:val="20"/>
        </w:rPr>
        <w:t>growth.</w:t>
      </w:r>
    </w:p>
    <w:p w14:paraId="331AC234" w14:textId="3121BB67" w:rsidR="00603877" w:rsidRPr="00BA1B7B" w:rsidRDefault="009F1AD6" w:rsidP="004A22FD">
      <w:pPr>
        <w:pStyle w:val="BodyText"/>
        <w:spacing w:before="116" w:line="232" w:lineRule="auto"/>
        <w:ind w:right="1008"/>
        <w:jc w:val="center"/>
        <w:rPr>
          <w:rFonts w:ascii="Arial" w:hAnsi="Arial" w:cs="Arial"/>
          <w:b/>
          <w:sz w:val="20"/>
          <w:szCs w:val="20"/>
        </w:rPr>
      </w:pPr>
      <w:r w:rsidRPr="00BA1B7B">
        <w:rPr>
          <w:rFonts w:ascii="Arial" w:hAnsi="Arial" w:cs="Arial"/>
          <w:b/>
          <w:sz w:val="20"/>
          <w:szCs w:val="20"/>
        </w:rPr>
        <w:t xml:space="preserve">Women with a high BMI &gt;40 and large uterine fibroids should be a RED pathway and are therefore </w:t>
      </w:r>
      <w:r w:rsidRPr="00BA1B7B">
        <w:rPr>
          <w:rFonts w:ascii="Arial" w:hAnsi="Arial" w:cs="Arial"/>
          <w:b/>
          <w:sz w:val="20"/>
          <w:szCs w:val="20"/>
          <w:u w:val="single"/>
        </w:rPr>
        <w:t>NOT</w:t>
      </w:r>
      <w:r w:rsidRPr="00BA1B7B">
        <w:rPr>
          <w:rFonts w:ascii="Arial" w:hAnsi="Arial" w:cs="Arial"/>
          <w:b/>
          <w:sz w:val="20"/>
          <w:szCs w:val="20"/>
        </w:rPr>
        <w:t xml:space="preserve"> suitable for GP shared care</w:t>
      </w:r>
    </w:p>
    <w:p w14:paraId="249912D1" w14:textId="77777777" w:rsidR="009F1AD6" w:rsidRPr="00BA1B7B" w:rsidRDefault="009F1AD6" w:rsidP="009F1AD6">
      <w:pPr>
        <w:spacing w:before="113"/>
        <w:rPr>
          <w:rFonts w:ascii="Arial" w:hAnsi="Arial" w:cs="Arial"/>
          <w:b/>
          <w:sz w:val="20"/>
          <w:szCs w:val="20"/>
        </w:rPr>
      </w:pPr>
      <w:r w:rsidRPr="00BA1B7B">
        <w:rPr>
          <w:rFonts w:ascii="Arial" w:hAnsi="Arial" w:cs="Arial"/>
          <w:b/>
          <w:sz w:val="20"/>
          <w:szCs w:val="20"/>
        </w:rPr>
        <w:t xml:space="preserve">Slow growth trajectory </w:t>
      </w:r>
    </w:p>
    <w:p w14:paraId="1F73B22C" w14:textId="77777777" w:rsidR="009F1AD6" w:rsidRPr="005E6595" w:rsidRDefault="009F1AD6" w:rsidP="009F1AD6">
      <w:pPr>
        <w:rPr>
          <w:rFonts w:ascii="Arial" w:hAnsi="Arial" w:cs="Arial"/>
          <w:color w:val="002F86" w:themeColor="text1"/>
          <w:sz w:val="20"/>
          <w:szCs w:val="20"/>
        </w:rPr>
      </w:pPr>
      <w:r w:rsidRPr="005E6595">
        <w:rPr>
          <w:rFonts w:ascii="Arial" w:hAnsi="Arial" w:cs="Arial"/>
          <w:noProof/>
          <w:color w:val="002F86" w:themeColor="text1"/>
          <w:sz w:val="20"/>
          <w:szCs w:val="20"/>
          <w:lang w:eastAsia="en-AU"/>
        </w:rPr>
        <w:lastRenderedPageBreak/>
        <w:drawing>
          <wp:inline distT="0" distB="0" distL="0" distR="0" wp14:anchorId="2B665FD1" wp14:editId="11768F39">
            <wp:extent cx="4508382" cy="26098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11944" cy="2611912"/>
                    </a:xfrm>
                    <a:prstGeom prst="rect">
                      <a:avLst/>
                    </a:prstGeom>
                    <a:noFill/>
                  </pic:spPr>
                </pic:pic>
              </a:graphicData>
            </a:graphic>
          </wp:inline>
        </w:drawing>
      </w:r>
    </w:p>
    <w:p w14:paraId="3486F815" w14:textId="77777777" w:rsidR="009F1AD6" w:rsidRPr="005E6595" w:rsidRDefault="009F1AD6" w:rsidP="009F1AD6">
      <w:pPr>
        <w:rPr>
          <w:rFonts w:ascii="Arial" w:hAnsi="Arial" w:cs="Arial"/>
          <w:color w:val="002F86" w:themeColor="text1"/>
          <w:sz w:val="20"/>
          <w:szCs w:val="20"/>
        </w:rPr>
      </w:pPr>
      <w:r w:rsidRPr="005E6595">
        <w:rPr>
          <w:rFonts w:ascii="Arial" w:hAnsi="Arial" w:cs="Arial"/>
          <w:color w:val="002F86" w:themeColor="text1"/>
          <w:sz w:val="20"/>
          <w:szCs w:val="20"/>
        </w:rPr>
        <w:t xml:space="preserve"> </w:t>
      </w:r>
    </w:p>
    <w:p w14:paraId="38E81D03" w14:textId="77777777" w:rsidR="009F1AD6" w:rsidRPr="00BA1B7B" w:rsidRDefault="009F1AD6" w:rsidP="009F1AD6">
      <w:pPr>
        <w:spacing w:before="113"/>
        <w:rPr>
          <w:rFonts w:ascii="Arial" w:hAnsi="Arial" w:cs="Arial"/>
          <w:b/>
          <w:sz w:val="20"/>
          <w:szCs w:val="20"/>
        </w:rPr>
      </w:pPr>
      <w:r w:rsidRPr="00BA1B7B">
        <w:rPr>
          <w:rFonts w:ascii="Arial" w:hAnsi="Arial" w:cs="Arial"/>
          <w:b/>
          <w:sz w:val="20"/>
          <w:szCs w:val="20"/>
        </w:rPr>
        <w:t xml:space="preserve">Static growth trajectory </w:t>
      </w:r>
    </w:p>
    <w:p w14:paraId="3BADDEB2" w14:textId="77777777" w:rsidR="009F1AD6" w:rsidRPr="005E6595" w:rsidRDefault="009F1AD6" w:rsidP="009F1AD6">
      <w:pPr>
        <w:rPr>
          <w:rFonts w:ascii="Arial" w:hAnsi="Arial" w:cs="Arial"/>
          <w:color w:val="002F86" w:themeColor="text1"/>
          <w:sz w:val="20"/>
          <w:szCs w:val="20"/>
        </w:rPr>
      </w:pPr>
      <w:r w:rsidRPr="005E6595">
        <w:rPr>
          <w:rFonts w:ascii="Arial" w:hAnsi="Arial" w:cs="Arial"/>
          <w:noProof/>
          <w:color w:val="002F86" w:themeColor="text1"/>
          <w:sz w:val="20"/>
          <w:szCs w:val="20"/>
          <w:lang w:eastAsia="en-AU"/>
        </w:rPr>
        <w:drawing>
          <wp:inline distT="0" distB="0" distL="0" distR="0" wp14:anchorId="0C613D53" wp14:editId="097A54CD">
            <wp:extent cx="4448175" cy="24617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56618" cy="2466435"/>
                    </a:xfrm>
                    <a:prstGeom prst="rect">
                      <a:avLst/>
                    </a:prstGeom>
                    <a:noFill/>
                  </pic:spPr>
                </pic:pic>
              </a:graphicData>
            </a:graphic>
          </wp:inline>
        </w:drawing>
      </w:r>
    </w:p>
    <w:p w14:paraId="42EA89F7" w14:textId="77777777" w:rsidR="004A22FD" w:rsidRDefault="004A22FD" w:rsidP="009F1AD6">
      <w:pPr>
        <w:spacing w:before="96" w:line="247" w:lineRule="auto"/>
        <w:rPr>
          <w:rFonts w:ascii="Arial" w:hAnsi="Arial" w:cs="Arial"/>
          <w:b/>
          <w:color w:val="002F86" w:themeColor="text1"/>
          <w:sz w:val="20"/>
          <w:szCs w:val="20"/>
        </w:rPr>
      </w:pPr>
    </w:p>
    <w:p w14:paraId="18452E01" w14:textId="3B623DD3" w:rsidR="009F1AD6" w:rsidRPr="00BA1B7B" w:rsidRDefault="009F1AD6" w:rsidP="009F1AD6">
      <w:pPr>
        <w:spacing w:before="96" w:line="247" w:lineRule="auto"/>
        <w:rPr>
          <w:rFonts w:ascii="Arial" w:hAnsi="Arial" w:cs="Arial"/>
          <w:b/>
          <w:sz w:val="20"/>
          <w:szCs w:val="20"/>
        </w:rPr>
      </w:pPr>
      <w:r w:rsidRPr="00BA1B7B">
        <w:rPr>
          <w:rFonts w:ascii="Arial" w:hAnsi="Arial" w:cs="Arial"/>
          <w:b/>
          <w:sz w:val="20"/>
          <w:szCs w:val="20"/>
        </w:rPr>
        <w:t>Suspected SGA and/or FGR</w:t>
      </w:r>
    </w:p>
    <w:p w14:paraId="31029FF3" w14:textId="77777777" w:rsidR="009F1AD6" w:rsidRPr="00BA1B7B" w:rsidRDefault="009F1AD6" w:rsidP="009F1AD6">
      <w:pPr>
        <w:spacing w:before="96" w:line="247" w:lineRule="auto"/>
        <w:rPr>
          <w:rStyle w:val="Hyperlink"/>
          <w:rFonts w:ascii="Arial" w:hAnsi="Arial" w:cs="Arial"/>
          <w:color w:val="auto"/>
          <w:w w:val="105"/>
          <w:sz w:val="20"/>
          <w:szCs w:val="20"/>
        </w:rPr>
      </w:pPr>
      <w:r w:rsidRPr="00BA1B7B">
        <w:rPr>
          <w:rFonts w:ascii="Arial" w:hAnsi="Arial" w:cs="Arial"/>
          <w:sz w:val="20"/>
          <w:szCs w:val="20"/>
        </w:rPr>
        <w:t xml:space="preserve">Frequency and type of fetal surveillance required for suspected FGR should be based on the FGR risk as per the algorithm: </w:t>
      </w:r>
      <w:hyperlink r:id="rId108" w:history="1">
        <w:r w:rsidRPr="00BA1B7B">
          <w:rPr>
            <w:rStyle w:val="Hyperlink"/>
            <w:rFonts w:ascii="Arial" w:hAnsi="Arial" w:cs="Arial"/>
            <w:color w:val="auto"/>
            <w:w w:val="105"/>
            <w:sz w:val="20"/>
            <w:szCs w:val="20"/>
          </w:rPr>
          <w:t>https://resources.stillbirthcre.org.au/elearn/resources/FGR%20Management%20Pathway_V4.pdf</w:t>
        </w:r>
      </w:hyperlink>
    </w:p>
    <w:p w14:paraId="7BD726F7" w14:textId="378F3952" w:rsidR="001D2555" w:rsidRPr="00BA1B7B" w:rsidRDefault="001D2555" w:rsidP="00603877">
      <w:pPr>
        <w:rPr>
          <w:rFonts w:ascii="Arial" w:hAnsi="Arial" w:cs="Arial"/>
          <w:sz w:val="20"/>
          <w:szCs w:val="20"/>
          <w:lang w:eastAsia="en-AU"/>
        </w:rPr>
      </w:pPr>
    </w:p>
    <w:p w14:paraId="0E338D83" w14:textId="5A8923F6" w:rsidR="009F1AD6" w:rsidRPr="00BA1B7B" w:rsidRDefault="009F1AD6" w:rsidP="00096B39">
      <w:pPr>
        <w:widowControl w:val="0"/>
        <w:autoSpaceDE w:val="0"/>
        <w:autoSpaceDN w:val="0"/>
        <w:spacing w:before="69"/>
        <w:rPr>
          <w:rFonts w:ascii="Arial" w:eastAsia="Calibri" w:hAnsi="Arial" w:cs="Arial"/>
          <w:b/>
          <w:bCs/>
          <w:w w:val="105"/>
          <w:sz w:val="20"/>
          <w:szCs w:val="20"/>
          <w:lang w:val="en-US"/>
        </w:rPr>
      </w:pPr>
      <w:r w:rsidRPr="00BA1B7B">
        <w:rPr>
          <w:rFonts w:ascii="Arial" w:eastAsia="Calibri" w:hAnsi="Arial" w:cs="Arial"/>
          <w:b/>
          <w:bCs/>
          <w:w w:val="105"/>
          <w:sz w:val="20"/>
          <w:szCs w:val="20"/>
          <w:lang w:val="en-US"/>
        </w:rPr>
        <w:t>Table 4: Common investigations for diagnosis and management of FGR</w:t>
      </w:r>
    </w:p>
    <w:tbl>
      <w:tblPr>
        <w:tblStyle w:val="TableGrid"/>
        <w:tblW w:w="0" w:type="auto"/>
        <w:tblLook w:val="04A0" w:firstRow="1" w:lastRow="0" w:firstColumn="1" w:lastColumn="0" w:noHBand="0" w:noVBand="1"/>
      </w:tblPr>
      <w:tblGrid>
        <w:gridCol w:w="3055"/>
        <w:gridCol w:w="3003"/>
        <w:gridCol w:w="2958"/>
      </w:tblGrid>
      <w:tr w:rsidR="009F1AD6" w:rsidRPr="00BA1B7B" w14:paraId="5F3D53D2" w14:textId="77777777" w:rsidTr="007A499C">
        <w:tc>
          <w:tcPr>
            <w:tcW w:w="3055" w:type="dxa"/>
            <w:shd w:val="clear" w:color="auto" w:fill="FFFFFF" w:themeFill="background2"/>
          </w:tcPr>
          <w:p w14:paraId="2DDED2BE" w14:textId="77777777" w:rsidR="009F1AD6" w:rsidRPr="00BA1B7B" w:rsidRDefault="009F1AD6" w:rsidP="00D64801">
            <w:pPr>
              <w:spacing w:before="96" w:line="247" w:lineRule="auto"/>
              <w:rPr>
                <w:rFonts w:ascii="Arial" w:hAnsi="Arial" w:cs="Arial"/>
                <w:b/>
                <w:sz w:val="20"/>
                <w:szCs w:val="20"/>
              </w:rPr>
            </w:pPr>
            <w:r w:rsidRPr="00BA1B7B">
              <w:rPr>
                <w:rFonts w:ascii="Arial" w:hAnsi="Arial" w:cs="Arial"/>
                <w:b/>
                <w:sz w:val="20"/>
                <w:szCs w:val="20"/>
              </w:rPr>
              <w:t>Investigation</w:t>
            </w:r>
          </w:p>
        </w:tc>
        <w:tc>
          <w:tcPr>
            <w:tcW w:w="3003" w:type="dxa"/>
            <w:shd w:val="clear" w:color="auto" w:fill="FFFFFF" w:themeFill="background2"/>
          </w:tcPr>
          <w:p w14:paraId="58478961" w14:textId="77777777" w:rsidR="009F1AD6" w:rsidRPr="00BA1B7B" w:rsidRDefault="009F1AD6" w:rsidP="00D64801">
            <w:pPr>
              <w:spacing w:before="96" w:line="247" w:lineRule="auto"/>
              <w:rPr>
                <w:rFonts w:ascii="Arial" w:hAnsi="Arial" w:cs="Arial"/>
                <w:b/>
                <w:sz w:val="20"/>
                <w:szCs w:val="20"/>
              </w:rPr>
            </w:pPr>
            <w:r w:rsidRPr="00BA1B7B">
              <w:rPr>
                <w:rFonts w:ascii="Arial" w:hAnsi="Arial" w:cs="Arial"/>
                <w:b/>
                <w:sz w:val="20"/>
                <w:szCs w:val="20"/>
              </w:rPr>
              <w:t>Description</w:t>
            </w:r>
          </w:p>
        </w:tc>
        <w:tc>
          <w:tcPr>
            <w:tcW w:w="2958" w:type="dxa"/>
            <w:shd w:val="clear" w:color="auto" w:fill="FFFFFF" w:themeFill="background2"/>
          </w:tcPr>
          <w:p w14:paraId="4B6E3D95" w14:textId="77777777" w:rsidR="009F1AD6" w:rsidRPr="00BA1B7B" w:rsidRDefault="009F1AD6" w:rsidP="00D64801">
            <w:pPr>
              <w:spacing w:before="96" w:line="247" w:lineRule="auto"/>
              <w:rPr>
                <w:rFonts w:ascii="Arial" w:hAnsi="Arial" w:cs="Arial"/>
                <w:b/>
                <w:sz w:val="20"/>
                <w:szCs w:val="20"/>
              </w:rPr>
            </w:pPr>
            <w:r w:rsidRPr="00BA1B7B">
              <w:rPr>
                <w:rFonts w:ascii="Arial" w:hAnsi="Arial" w:cs="Arial"/>
                <w:b/>
                <w:sz w:val="20"/>
                <w:szCs w:val="20"/>
              </w:rPr>
              <w:t>Suggestive of FGR</w:t>
            </w:r>
          </w:p>
        </w:tc>
      </w:tr>
      <w:tr w:rsidR="009F1AD6" w:rsidRPr="00BA1B7B" w14:paraId="67533F9E" w14:textId="77777777" w:rsidTr="007A499C">
        <w:tc>
          <w:tcPr>
            <w:tcW w:w="3055" w:type="dxa"/>
            <w:shd w:val="clear" w:color="auto" w:fill="F2F2F2" w:themeFill="background1" w:themeFillShade="F2"/>
          </w:tcPr>
          <w:p w14:paraId="4EC57F32"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Fetal biometry by ultrasound</w:t>
            </w:r>
          </w:p>
        </w:tc>
        <w:tc>
          <w:tcPr>
            <w:tcW w:w="3003" w:type="dxa"/>
            <w:shd w:val="clear" w:color="auto" w:fill="F2F2F2" w:themeFill="background1" w:themeFillShade="F2"/>
          </w:tcPr>
          <w:p w14:paraId="09AD8E30"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Abdominal circumference (AC)</w:t>
            </w:r>
          </w:p>
          <w:p w14:paraId="623485ED"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Head circumference (HC)</w:t>
            </w:r>
          </w:p>
          <w:p w14:paraId="1402C1AC"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Biparietal diameter (BPD)</w:t>
            </w:r>
          </w:p>
          <w:p w14:paraId="48CC9E87"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lastRenderedPageBreak/>
              <w:t>Femur length (FL)</w:t>
            </w:r>
          </w:p>
          <w:p w14:paraId="6CEA7FFA"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Estimated fetal weight (EFW)</w:t>
            </w:r>
          </w:p>
        </w:tc>
        <w:tc>
          <w:tcPr>
            <w:tcW w:w="2958" w:type="dxa"/>
            <w:shd w:val="clear" w:color="auto" w:fill="F2F2F2" w:themeFill="background1" w:themeFillShade="F2"/>
          </w:tcPr>
          <w:p w14:paraId="7B3C78FA"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lastRenderedPageBreak/>
              <w:t>EFW or AC &lt;10</w:t>
            </w:r>
            <w:r w:rsidRPr="00BA1B7B">
              <w:rPr>
                <w:rFonts w:ascii="Arial" w:hAnsi="Arial" w:cs="Arial"/>
                <w:sz w:val="20"/>
                <w:szCs w:val="20"/>
                <w:vertAlign w:val="superscript"/>
              </w:rPr>
              <w:t>th</w:t>
            </w:r>
            <w:r w:rsidRPr="00BA1B7B">
              <w:rPr>
                <w:rFonts w:ascii="Arial" w:hAnsi="Arial" w:cs="Arial"/>
                <w:sz w:val="20"/>
                <w:szCs w:val="20"/>
              </w:rPr>
              <w:t xml:space="preserve"> centile</w:t>
            </w:r>
          </w:p>
          <w:p w14:paraId="59FA0308"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(Severe FGR &lt;3</w:t>
            </w:r>
            <w:r w:rsidRPr="00BA1B7B">
              <w:rPr>
                <w:rFonts w:ascii="Arial" w:hAnsi="Arial" w:cs="Arial"/>
                <w:sz w:val="20"/>
                <w:szCs w:val="20"/>
                <w:vertAlign w:val="superscript"/>
              </w:rPr>
              <w:t>rd</w:t>
            </w:r>
            <w:r w:rsidRPr="00BA1B7B">
              <w:rPr>
                <w:rFonts w:ascii="Arial" w:hAnsi="Arial" w:cs="Arial"/>
                <w:sz w:val="20"/>
                <w:szCs w:val="20"/>
              </w:rPr>
              <w:t xml:space="preserve"> centile)</w:t>
            </w:r>
          </w:p>
        </w:tc>
      </w:tr>
      <w:tr w:rsidR="009F1AD6" w:rsidRPr="00BA1B7B" w14:paraId="4FB22BD8" w14:textId="77777777" w:rsidTr="007A499C">
        <w:tc>
          <w:tcPr>
            <w:tcW w:w="3055" w:type="dxa"/>
            <w:shd w:val="clear" w:color="auto" w:fill="F2F2F2" w:themeFill="background1" w:themeFillShade="F2"/>
          </w:tcPr>
          <w:p w14:paraId="7FBC77F2"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Amniotic fluid index</w:t>
            </w:r>
          </w:p>
        </w:tc>
        <w:tc>
          <w:tcPr>
            <w:tcW w:w="3003" w:type="dxa"/>
            <w:shd w:val="clear" w:color="auto" w:fill="F2F2F2" w:themeFill="background1" w:themeFillShade="F2"/>
          </w:tcPr>
          <w:p w14:paraId="7C528029"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Measured by the single deepest pool (DVP) of amniotic fluid</w:t>
            </w:r>
          </w:p>
        </w:tc>
        <w:tc>
          <w:tcPr>
            <w:tcW w:w="2958" w:type="dxa"/>
            <w:shd w:val="clear" w:color="auto" w:fill="F2F2F2" w:themeFill="background1" w:themeFillShade="F2"/>
          </w:tcPr>
          <w:p w14:paraId="040BB1D7"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DVP &lt;2cm</w:t>
            </w:r>
          </w:p>
        </w:tc>
      </w:tr>
      <w:tr w:rsidR="009F1AD6" w:rsidRPr="00BA1B7B" w14:paraId="53E97A14" w14:textId="77777777" w:rsidTr="007A499C">
        <w:tc>
          <w:tcPr>
            <w:tcW w:w="3055" w:type="dxa"/>
            <w:shd w:val="clear" w:color="auto" w:fill="F2F2F2" w:themeFill="background1" w:themeFillShade="F2"/>
          </w:tcPr>
          <w:p w14:paraId="0148D3CA"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Umbilical artery Doppler (UAD)</w:t>
            </w:r>
          </w:p>
        </w:tc>
        <w:tc>
          <w:tcPr>
            <w:tcW w:w="3003" w:type="dxa"/>
            <w:shd w:val="clear" w:color="auto" w:fill="F2F2F2" w:themeFill="background1" w:themeFillShade="F2"/>
          </w:tcPr>
          <w:p w14:paraId="61F1A973"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Measures resistance to blood flow in the umbilical artery  and placenta</w:t>
            </w:r>
          </w:p>
        </w:tc>
        <w:tc>
          <w:tcPr>
            <w:tcW w:w="2958" w:type="dxa"/>
            <w:shd w:val="clear" w:color="auto" w:fill="F2F2F2" w:themeFill="background1" w:themeFillShade="F2"/>
          </w:tcPr>
          <w:p w14:paraId="0EFE7C0B"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UA PI &gt;95</w:t>
            </w:r>
            <w:r w:rsidRPr="00BA1B7B">
              <w:rPr>
                <w:rFonts w:ascii="Arial" w:hAnsi="Arial" w:cs="Arial"/>
                <w:sz w:val="20"/>
                <w:szCs w:val="20"/>
                <w:vertAlign w:val="superscript"/>
              </w:rPr>
              <w:t>th</w:t>
            </w:r>
            <w:r w:rsidRPr="00BA1B7B">
              <w:rPr>
                <w:rFonts w:ascii="Arial" w:hAnsi="Arial" w:cs="Arial"/>
                <w:sz w:val="20"/>
                <w:szCs w:val="20"/>
              </w:rPr>
              <w:t xml:space="preserve"> centile, absent or reverse end diastolic flow (AREDF)</w:t>
            </w:r>
          </w:p>
        </w:tc>
      </w:tr>
      <w:tr w:rsidR="009F1AD6" w:rsidRPr="00BA1B7B" w14:paraId="6C1B2FF4" w14:textId="77777777" w:rsidTr="007A499C">
        <w:tc>
          <w:tcPr>
            <w:tcW w:w="3055" w:type="dxa"/>
            <w:shd w:val="clear" w:color="auto" w:fill="F2F2F2" w:themeFill="background1" w:themeFillShade="F2"/>
          </w:tcPr>
          <w:p w14:paraId="3EFD2111"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Cardiotocograph</w:t>
            </w:r>
          </w:p>
        </w:tc>
        <w:tc>
          <w:tcPr>
            <w:tcW w:w="3003" w:type="dxa"/>
            <w:shd w:val="clear" w:color="auto" w:fill="F2F2F2" w:themeFill="background1" w:themeFillShade="F2"/>
          </w:tcPr>
          <w:p w14:paraId="0FEA4DD0"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Continuous recording of fetal heart rate and uterine activity</w:t>
            </w:r>
          </w:p>
        </w:tc>
        <w:tc>
          <w:tcPr>
            <w:tcW w:w="2958" w:type="dxa"/>
            <w:shd w:val="clear" w:color="auto" w:fill="F2F2F2" w:themeFill="background1" w:themeFillShade="F2"/>
          </w:tcPr>
          <w:p w14:paraId="2AB7E6BA"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Non-reassuring or pathological CTG trace</w:t>
            </w:r>
          </w:p>
        </w:tc>
      </w:tr>
      <w:tr w:rsidR="009F1AD6" w:rsidRPr="00BA1B7B" w14:paraId="2993F1D1" w14:textId="77777777" w:rsidTr="007A499C">
        <w:tc>
          <w:tcPr>
            <w:tcW w:w="3055" w:type="dxa"/>
            <w:shd w:val="clear" w:color="auto" w:fill="F2F2F2" w:themeFill="background1" w:themeFillShade="F2"/>
          </w:tcPr>
          <w:p w14:paraId="6A0BA14B"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Enquiry about fetal movements</w:t>
            </w:r>
          </w:p>
        </w:tc>
        <w:tc>
          <w:tcPr>
            <w:tcW w:w="3003" w:type="dxa"/>
            <w:shd w:val="clear" w:color="auto" w:fill="F2F2F2" w:themeFill="background1" w:themeFillShade="F2"/>
          </w:tcPr>
          <w:p w14:paraId="5B37AB9C"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Ask each woman to identify her baby’s normal pattern of movements</w:t>
            </w:r>
          </w:p>
        </w:tc>
        <w:tc>
          <w:tcPr>
            <w:tcW w:w="2958" w:type="dxa"/>
            <w:shd w:val="clear" w:color="auto" w:fill="F2F2F2" w:themeFill="background1" w:themeFillShade="F2"/>
          </w:tcPr>
          <w:p w14:paraId="01BF790F" w14:textId="77777777" w:rsidR="009F1AD6" w:rsidRPr="00BA1B7B" w:rsidRDefault="009F1AD6" w:rsidP="00D64801">
            <w:pPr>
              <w:spacing w:before="96" w:line="247" w:lineRule="auto"/>
              <w:rPr>
                <w:rFonts w:ascii="Arial" w:hAnsi="Arial" w:cs="Arial"/>
                <w:sz w:val="20"/>
                <w:szCs w:val="20"/>
              </w:rPr>
            </w:pPr>
            <w:r w:rsidRPr="00BA1B7B">
              <w:rPr>
                <w:rFonts w:ascii="Arial" w:hAnsi="Arial" w:cs="Arial"/>
                <w:sz w:val="20"/>
                <w:szCs w:val="20"/>
              </w:rPr>
              <w:t>Maternal concern about strength or frequency of fetal movement. This overrides any definition of DFM</w:t>
            </w:r>
          </w:p>
        </w:tc>
      </w:tr>
    </w:tbl>
    <w:p w14:paraId="2BB0AFB4" w14:textId="6BD65F1E" w:rsidR="009F1AD6" w:rsidRPr="00BA1B7B" w:rsidRDefault="00096B39" w:rsidP="009F1AD6">
      <w:pPr>
        <w:spacing w:before="96" w:line="247" w:lineRule="auto"/>
        <w:rPr>
          <w:rFonts w:ascii="Arial" w:hAnsi="Arial" w:cs="Arial"/>
          <w:sz w:val="20"/>
          <w:szCs w:val="20"/>
        </w:rPr>
      </w:pPr>
      <w:r w:rsidRPr="00BA1B7B">
        <w:rPr>
          <w:rFonts w:ascii="Arial" w:hAnsi="Arial" w:cs="Arial"/>
          <w:sz w:val="20"/>
          <w:szCs w:val="20"/>
        </w:rPr>
        <w:t xml:space="preserve">Source: </w:t>
      </w:r>
      <w:r w:rsidR="009F1AD6" w:rsidRPr="00BA1B7B">
        <w:rPr>
          <w:rFonts w:ascii="Arial" w:hAnsi="Arial" w:cs="Arial"/>
          <w:sz w:val="20"/>
          <w:szCs w:val="20"/>
        </w:rPr>
        <w:t>(Gardener et al 2018)</w:t>
      </w:r>
    </w:p>
    <w:p w14:paraId="0C49F1E6" w14:textId="77777777" w:rsidR="004A22FD" w:rsidRPr="00BA1B7B" w:rsidRDefault="004A22FD" w:rsidP="009F1AD6">
      <w:pPr>
        <w:spacing w:before="96" w:line="247" w:lineRule="auto"/>
        <w:rPr>
          <w:rFonts w:ascii="Arial" w:hAnsi="Arial" w:cs="Arial"/>
          <w:sz w:val="20"/>
          <w:szCs w:val="20"/>
        </w:rPr>
      </w:pPr>
    </w:p>
    <w:p w14:paraId="34514F87" w14:textId="5AE7DE59" w:rsidR="009F1AD6" w:rsidRPr="00BA1B7B" w:rsidRDefault="009F1AD6" w:rsidP="009F1AD6">
      <w:pPr>
        <w:spacing w:before="96" w:line="247" w:lineRule="auto"/>
        <w:rPr>
          <w:rFonts w:ascii="Arial" w:hAnsi="Arial" w:cs="Arial"/>
          <w:sz w:val="20"/>
          <w:szCs w:val="20"/>
        </w:rPr>
      </w:pPr>
      <w:r w:rsidRPr="00BA1B7B">
        <w:rPr>
          <w:rFonts w:ascii="Arial" w:hAnsi="Arial" w:cs="Arial"/>
          <w:sz w:val="20"/>
          <w:szCs w:val="20"/>
        </w:rPr>
        <w:t xml:space="preserve">Any suspicion regarding fetal growth, </w:t>
      </w:r>
      <w:r w:rsidRPr="00BA1B7B">
        <w:rPr>
          <w:rFonts w:ascii="Arial" w:hAnsi="Arial" w:cs="Arial"/>
          <w:b/>
          <w:sz w:val="20"/>
          <w:szCs w:val="20"/>
          <w:u w:val="single"/>
        </w:rPr>
        <w:t>two</w:t>
      </w:r>
      <w:r w:rsidRPr="00BA1B7B">
        <w:rPr>
          <w:rFonts w:ascii="Arial" w:hAnsi="Arial" w:cs="Arial"/>
          <w:sz w:val="20"/>
          <w:szCs w:val="20"/>
        </w:rPr>
        <w:t xml:space="preserve"> ultrasound assessments should be arranged by the GP with a minimum of two weeks between scans. Follow up with an obstetrician to be booked once date of 2</w:t>
      </w:r>
      <w:r w:rsidRPr="00BA1B7B">
        <w:rPr>
          <w:rFonts w:ascii="Arial" w:hAnsi="Arial" w:cs="Arial"/>
          <w:sz w:val="20"/>
          <w:szCs w:val="20"/>
          <w:vertAlign w:val="superscript"/>
        </w:rPr>
        <w:t>nd</w:t>
      </w:r>
      <w:r w:rsidRPr="00BA1B7B">
        <w:rPr>
          <w:rFonts w:ascii="Arial" w:hAnsi="Arial" w:cs="Arial"/>
          <w:sz w:val="20"/>
          <w:szCs w:val="20"/>
        </w:rPr>
        <w:t xml:space="preserve"> scan confirmed.</w:t>
      </w:r>
    </w:p>
    <w:p w14:paraId="2E64BE4B" w14:textId="77777777" w:rsidR="009F1AD6" w:rsidRPr="00BA1B7B" w:rsidRDefault="009F1AD6" w:rsidP="009F1AD6">
      <w:pPr>
        <w:spacing w:before="96" w:line="247" w:lineRule="auto"/>
        <w:jc w:val="center"/>
        <w:rPr>
          <w:rFonts w:ascii="Arial" w:hAnsi="Arial" w:cs="Arial"/>
          <w:b/>
          <w:sz w:val="20"/>
          <w:szCs w:val="20"/>
        </w:rPr>
      </w:pPr>
      <w:r w:rsidRPr="00BA1B7B">
        <w:rPr>
          <w:rFonts w:ascii="Arial" w:hAnsi="Arial" w:cs="Arial"/>
          <w:b/>
          <w:sz w:val="20"/>
          <w:szCs w:val="20"/>
        </w:rPr>
        <w:t xml:space="preserve">A single scan is </w:t>
      </w:r>
      <w:r w:rsidRPr="00BA1B7B">
        <w:rPr>
          <w:rFonts w:ascii="Arial" w:hAnsi="Arial" w:cs="Arial"/>
          <w:b/>
          <w:sz w:val="20"/>
          <w:szCs w:val="20"/>
          <w:u w:val="single"/>
        </w:rPr>
        <w:t xml:space="preserve">NOT </w:t>
      </w:r>
      <w:r w:rsidRPr="00BA1B7B">
        <w:rPr>
          <w:rFonts w:ascii="Arial" w:hAnsi="Arial" w:cs="Arial"/>
          <w:b/>
          <w:sz w:val="20"/>
          <w:szCs w:val="20"/>
        </w:rPr>
        <w:t>recommended as this cannot determine growth velocity.</w:t>
      </w:r>
    </w:p>
    <w:p w14:paraId="69E50B53" w14:textId="77777777" w:rsidR="009F1AD6" w:rsidRPr="00BA1B7B" w:rsidRDefault="009F1AD6" w:rsidP="009F1AD6">
      <w:pPr>
        <w:spacing w:before="96" w:line="247" w:lineRule="auto"/>
        <w:rPr>
          <w:rFonts w:ascii="Arial" w:hAnsi="Arial" w:cs="Arial"/>
          <w:sz w:val="20"/>
          <w:szCs w:val="20"/>
        </w:rPr>
      </w:pPr>
      <w:r w:rsidRPr="00BA1B7B">
        <w:rPr>
          <w:rFonts w:ascii="Arial" w:hAnsi="Arial" w:cs="Arial"/>
          <w:sz w:val="20"/>
          <w:szCs w:val="20"/>
        </w:rPr>
        <w:t>Ultrasound assessment request should include:</w:t>
      </w:r>
    </w:p>
    <w:p w14:paraId="12F06551" w14:textId="77777777" w:rsidR="009F1AD6" w:rsidRPr="00BA1B7B" w:rsidRDefault="009F1AD6" w:rsidP="004A22FD">
      <w:pPr>
        <w:pStyle w:val="ListParagraph"/>
        <w:widowControl w:val="0"/>
        <w:numPr>
          <w:ilvl w:val="0"/>
          <w:numId w:val="30"/>
        </w:numPr>
        <w:autoSpaceDE w:val="0"/>
        <w:autoSpaceDN w:val="0"/>
        <w:spacing w:before="96" w:after="0" w:line="247" w:lineRule="auto"/>
        <w:contextualSpacing w:val="0"/>
        <w:rPr>
          <w:rFonts w:ascii="Arial" w:hAnsi="Arial" w:cs="Arial"/>
          <w:sz w:val="20"/>
          <w:szCs w:val="20"/>
        </w:rPr>
      </w:pPr>
      <w:r w:rsidRPr="00BA1B7B">
        <w:rPr>
          <w:rFonts w:ascii="Arial" w:hAnsi="Arial" w:cs="Arial"/>
          <w:sz w:val="20"/>
          <w:szCs w:val="20"/>
        </w:rPr>
        <w:t>Fetal biometry</w:t>
      </w:r>
    </w:p>
    <w:p w14:paraId="2B6B9910" w14:textId="77777777" w:rsidR="009F1AD6" w:rsidRPr="00BA1B7B" w:rsidRDefault="009F1AD6" w:rsidP="004A22FD">
      <w:pPr>
        <w:pStyle w:val="ListParagraph"/>
        <w:widowControl w:val="0"/>
        <w:numPr>
          <w:ilvl w:val="0"/>
          <w:numId w:val="30"/>
        </w:numPr>
        <w:autoSpaceDE w:val="0"/>
        <w:autoSpaceDN w:val="0"/>
        <w:spacing w:before="96" w:after="0" w:line="247" w:lineRule="auto"/>
        <w:contextualSpacing w:val="0"/>
        <w:rPr>
          <w:rFonts w:ascii="Arial" w:hAnsi="Arial" w:cs="Arial"/>
          <w:sz w:val="20"/>
          <w:szCs w:val="20"/>
        </w:rPr>
      </w:pPr>
      <w:r w:rsidRPr="00BA1B7B">
        <w:rPr>
          <w:rFonts w:ascii="Arial" w:hAnsi="Arial" w:cs="Arial"/>
          <w:sz w:val="20"/>
          <w:szCs w:val="20"/>
        </w:rPr>
        <w:t>Amniotic fluid index (AFI)</w:t>
      </w:r>
    </w:p>
    <w:p w14:paraId="59DBBCF9" w14:textId="77777777" w:rsidR="009F1AD6" w:rsidRPr="00BA1B7B" w:rsidRDefault="009F1AD6" w:rsidP="004A22FD">
      <w:pPr>
        <w:pStyle w:val="ListParagraph"/>
        <w:widowControl w:val="0"/>
        <w:numPr>
          <w:ilvl w:val="0"/>
          <w:numId w:val="30"/>
        </w:numPr>
        <w:autoSpaceDE w:val="0"/>
        <w:autoSpaceDN w:val="0"/>
        <w:spacing w:before="96" w:after="0" w:line="247" w:lineRule="auto"/>
        <w:contextualSpacing w:val="0"/>
        <w:rPr>
          <w:rFonts w:ascii="Arial" w:hAnsi="Arial" w:cs="Arial"/>
          <w:sz w:val="20"/>
          <w:szCs w:val="20"/>
        </w:rPr>
      </w:pPr>
      <w:r w:rsidRPr="00BA1B7B">
        <w:rPr>
          <w:rFonts w:ascii="Arial" w:hAnsi="Arial" w:cs="Arial"/>
          <w:sz w:val="20"/>
          <w:szCs w:val="20"/>
        </w:rPr>
        <w:t>Doppler of umbilical artery (UA) +/- middle cerebral artery (MCA)</w:t>
      </w:r>
    </w:p>
    <w:p w14:paraId="5DED8535" w14:textId="77777777" w:rsidR="009F1AD6" w:rsidRPr="00BA1B7B" w:rsidRDefault="009F1AD6" w:rsidP="009F1AD6">
      <w:pPr>
        <w:widowControl w:val="0"/>
        <w:autoSpaceDE w:val="0"/>
        <w:autoSpaceDN w:val="0"/>
        <w:spacing w:before="96" w:line="247" w:lineRule="auto"/>
        <w:jc w:val="center"/>
        <w:rPr>
          <w:rFonts w:ascii="Arial" w:hAnsi="Arial" w:cs="Arial"/>
          <w:b/>
          <w:sz w:val="20"/>
          <w:szCs w:val="20"/>
        </w:rPr>
      </w:pPr>
      <w:r w:rsidRPr="00BA1B7B">
        <w:rPr>
          <w:rFonts w:ascii="Arial" w:hAnsi="Arial" w:cs="Arial"/>
          <w:b/>
          <w:sz w:val="20"/>
          <w:szCs w:val="20"/>
        </w:rPr>
        <w:t xml:space="preserve">NB: Enquiry regarding fetal movements is vital to assessment. DFM MUST be referred to birth suite </w:t>
      </w:r>
    </w:p>
    <w:p w14:paraId="7C1C198B" w14:textId="77777777" w:rsidR="009F1AD6" w:rsidRPr="00BA1B7B" w:rsidRDefault="009F1AD6" w:rsidP="009F1AD6">
      <w:pPr>
        <w:spacing w:before="96" w:line="247" w:lineRule="auto"/>
        <w:rPr>
          <w:rFonts w:ascii="Arial" w:hAnsi="Arial" w:cs="Arial"/>
          <w:sz w:val="20"/>
          <w:szCs w:val="20"/>
        </w:rPr>
      </w:pPr>
      <w:r w:rsidRPr="00BA1B7B">
        <w:rPr>
          <w:rFonts w:ascii="Arial" w:hAnsi="Arial" w:cs="Arial"/>
          <w:sz w:val="20"/>
          <w:szCs w:val="20"/>
        </w:rPr>
        <w:t>Both scan dates must be confirmed ASAP and follow up appointment at Eastern Health with a level 2/3 obstetric clinician to be arranged within 72hrs of second scan date. Obstetric review will determine ongoing management plan and suitability for GP shared care – copy of result to be brought to appointment.</w:t>
      </w:r>
    </w:p>
    <w:p w14:paraId="5D0CDAC9" w14:textId="77777777" w:rsidR="009F1AD6" w:rsidRPr="00BA1B7B" w:rsidRDefault="009F1AD6" w:rsidP="009F1AD6">
      <w:pPr>
        <w:spacing w:before="96" w:line="247" w:lineRule="auto"/>
        <w:rPr>
          <w:rFonts w:ascii="Arial" w:hAnsi="Arial" w:cs="Arial"/>
          <w:sz w:val="20"/>
          <w:szCs w:val="20"/>
        </w:rPr>
      </w:pPr>
      <w:r w:rsidRPr="00BA1B7B">
        <w:rPr>
          <w:rFonts w:ascii="Arial" w:hAnsi="Arial" w:cs="Arial"/>
          <w:sz w:val="20"/>
          <w:szCs w:val="20"/>
        </w:rPr>
        <w:t>Recommend GP to review woman with scan result within 48 hours of first scan. If major concerns identified following first scan (&lt;3</w:t>
      </w:r>
      <w:r w:rsidRPr="00BA1B7B">
        <w:rPr>
          <w:rFonts w:ascii="Arial" w:hAnsi="Arial" w:cs="Arial"/>
          <w:sz w:val="20"/>
          <w:szCs w:val="20"/>
          <w:vertAlign w:val="superscript"/>
        </w:rPr>
        <w:t>rd</w:t>
      </w:r>
      <w:r w:rsidRPr="00BA1B7B">
        <w:rPr>
          <w:rFonts w:ascii="Arial" w:hAnsi="Arial" w:cs="Arial"/>
          <w:sz w:val="20"/>
          <w:szCs w:val="20"/>
        </w:rPr>
        <w:t xml:space="preserve"> centile) GP </w:t>
      </w:r>
      <w:r w:rsidRPr="00BA1B7B">
        <w:rPr>
          <w:rFonts w:ascii="Arial" w:hAnsi="Arial" w:cs="Arial"/>
          <w:b/>
          <w:sz w:val="20"/>
          <w:szCs w:val="20"/>
        </w:rPr>
        <w:t>MUST</w:t>
      </w:r>
      <w:r w:rsidRPr="00BA1B7B">
        <w:rPr>
          <w:rFonts w:ascii="Arial" w:hAnsi="Arial" w:cs="Arial"/>
          <w:sz w:val="20"/>
          <w:szCs w:val="20"/>
        </w:rPr>
        <w:t xml:space="preserve"> arrange follow up with a level 2/3 obstetrician at Eastern Health ASAP, preferably within one week to determine ongoing management plan and suitability for GP shared care.</w:t>
      </w:r>
    </w:p>
    <w:p w14:paraId="1051E12E" w14:textId="3F8D743C" w:rsidR="009F1AD6" w:rsidRPr="00BA1B7B" w:rsidRDefault="009F1AD6" w:rsidP="009F1AD6">
      <w:pPr>
        <w:spacing w:line="276" w:lineRule="auto"/>
        <w:rPr>
          <w:rFonts w:ascii="Arial" w:hAnsi="Arial" w:cs="Arial"/>
          <w:sz w:val="20"/>
          <w:szCs w:val="20"/>
        </w:rPr>
      </w:pPr>
    </w:p>
    <w:p w14:paraId="30384BBF"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The following should be adhered to:</w:t>
      </w:r>
    </w:p>
    <w:p w14:paraId="011BC158" w14:textId="778A2B1F" w:rsidR="00603877" w:rsidRPr="00BA1B7B" w:rsidRDefault="009F1AD6" w:rsidP="004A22FD">
      <w:pPr>
        <w:pStyle w:val="ListParagraph"/>
        <w:numPr>
          <w:ilvl w:val="0"/>
          <w:numId w:val="25"/>
        </w:numPr>
        <w:spacing w:line="276" w:lineRule="auto"/>
        <w:rPr>
          <w:rFonts w:ascii="Arial" w:hAnsi="Arial" w:cs="Arial"/>
          <w:sz w:val="20"/>
          <w:szCs w:val="20"/>
        </w:rPr>
      </w:pPr>
      <w:r w:rsidRPr="00BA1B7B">
        <w:rPr>
          <w:rFonts w:ascii="Arial" w:hAnsi="Arial" w:cs="Arial"/>
          <w:sz w:val="20"/>
          <w:szCs w:val="20"/>
        </w:rPr>
        <w:t xml:space="preserve">Symphyseal fundal height (SFH) measurements should be recorded at every antenatal encounter from 24 weeks gestation. </w:t>
      </w:r>
    </w:p>
    <w:p w14:paraId="20D4EC11" w14:textId="77777777" w:rsidR="00603877" w:rsidRPr="00BA1B7B" w:rsidRDefault="00603877" w:rsidP="00603877">
      <w:pPr>
        <w:pStyle w:val="ListParagraph"/>
        <w:spacing w:line="276" w:lineRule="auto"/>
        <w:rPr>
          <w:rFonts w:ascii="Arial" w:hAnsi="Arial" w:cs="Arial"/>
          <w:sz w:val="20"/>
          <w:szCs w:val="20"/>
        </w:rPr>
      </w:pPr>
    </w:p>
    <w:p w14:paraId="23710A44" w14:textId="77777777" w:rsidR="009F1AD6" w:rsidRPr="00BA1B7B" w:rsidRDefault="009F1AD6" w:rsidP="004A22FD">
      <w:pPr>
        <w:pStyle w:val="ListParagraph"/>
        <w:numPr>
          <w:ilvl w:val="0"/>
          <w:numId w:val="25"/>
        </w:numPr>
        <w:spacing w:line="276" w:lineRule="auto"/>
        <w:rPr>
          <w:rFonts w:ascii="Arial" w:hAnsi="Arial" w:cs="Arial"/>
          <w:sz w:val="20"/>
          <w:szCs w:val="20"/>
        </w:rPr>
      </w:pPr>
      <w:r w:rsidRPr="00BA1B7B">
        <w:rPr>
          <w:rFonts w:ascii="Arial" w:hAnsi="Arial" w:cs="Arial"/>
          <w:sz w:val="20"/>
          <w:szCs w:val="20"/>
        </w:rPr>
        <w:t>SFH must be plotted on a non-customised growth chart:  (Also provided to women within EHMR)</w:t>
      </w:r>
    </w:p>
    <w:p w14:paraId="42A3999F" w14:textId="77777777" w:rsidR="009F1AD6" w:rsidRPr="00BA1B7B" w:rsidRDefault="009F1AD6" w:rsidP="004A22FD">
      <w:pPr>
        <w:pStyle w:val="ListParagraph"/>
        <w:numPr>
          <w:ilvl w:val="0"/>
          <w:numId w:val="25"/>
        </w:numPr>
        <w:spacing w:line="276" w:lineRule="auto"/>
        <w:rPr>
          <w:rFonts w:ascii="Arial" w:hAnsi="Arial" w:cs="Arial"/>
          <w:sz w:val="20"/>
          <w:szCs w:val="20"/>
        </w:rPr>
      </w:pPr>
      <w:bookmarkStart w:id="65" w:name="_Hlk50119648"/>
      <w:r w:rsidRPr="00BA1B7B">
        <w:rPr>
          <w:rFonts w:ascii="Arial" w:hAnsi="Arial" w:cs="Arial"/>
          <w:sz w:val="20"/>
          <w:szCs w:val="20"/>
        </w:rPr>
        <w:t>If SFH is below the 10</w:t>
      </w:r>
      <w:r w:rsidRPr="00BA1B7B">
        <w:rPr>
          <w:rFonts w:ascii="Arial" w:hAnsi="Arial" w:cs="Arial"/>
          <w:sz w:val="20"/>
          <w:szCs w:val="20"/>
          <w:vertAlign w:val="superscript"/>
        </w:rPr>
        <w:t>th</w:t>
      </w:r>
      <w:r w:rsidRPr="00BA1B7B">
        <w:rPr>
          <w:rFonts w:ascii="Arial" w:hAnsi="Arial" w:cs="Arial"/>
          <w:sz w:val="20"/>
          <w:szCs w:val="20"/>
        </w:rPr>
        <w:t xml:space="preserve"> centile at first measurement or there is either static fundal height between two measurements at a fortnightly interval or slow fundal height growth (falling </w:t>
      </w:r>
      <w:r w:rsidRPr="00BA1B7B">
        <w:rPr>
          <w:rFonts w:ascii="Arial" w:hAnsi="Arial" w:cs="Arial"/>
          <w:sz w:val="20"/>
          <w:szCs w:val="20"/>
        </w:rPr>
        <w:lastRenderedPageBreak/>
        <w:t xml:space="preserve">centiles) across 2-4 visits the woman should be referred for an antenatal US via Medical Imaging at Eastern Health. </w:t>
      </w:r>
    </w:p>
    <w:bookmarkEnd w:id="65"/>
    <w:p w14:paraId="194952D3" w14:textId="77777777" w:rsidR="009F1AD6" w:rsidRPr="00BA1B7B" w:rsidRDefault="009F1AD6" w:rsidP="004A22FD">
      <w:pPr>
        <w:pStyle w:val="ListParagraph"/>
        <w:numPr>
          <w:ilvl w:val="0"/>
          <w:numId w:val="25"/>
        </w:numPr>
        <w:spacing w:line="276" w:lineRule="auto"/>
        <w:rPr>
          <w:rFonts w:ascii="Arial" w:hAnsi="Arial" w:cs="Arial"/>
          <w:sz w:val="20"/>
          <w:szCs w:val="20"/>
        </w:rPr>
      </w:pPr>
      <w:r w:rsidRPr="00BA1B7B">
        <w:rPr>
          <w:rFonts w:ascii="Arial" w:hAnsi="Arial" w:cs="Arial"/>
          <w:sz w:val="20"/>
          <w:szCs w:val="20"/>
        </w:rPr>
        <w:t xml:space="preserve">Any of the following on the US report require further attention and review by an obstetrician at Eastern Health, </w:t>
      </w:r>
    </w:p>
    <w:p w14:paraId="2CFB3395" w14:textId="77777777" w:rsidR="009F1AD6" w:rsidRPr="00BA1B7B" w:rsidRDefault="009F1AD6" w:rsidP="004A22FD">
      <w:pPr>
        <w:pStyle w:val="ListParagraph"/>
        <w:numPr>
          <w:ilvl w:val="1"/>
          <w:numId w:val="25"/>
        </w:numPr>
        <w:spacing w:line="276" w:lineRule="auto"/>
        <w:rPr>
          <w:rFonts w:ascii="Arial" w:hAnsi="Arial" w:cs="Arial"/>
          <w:sz w:val="20"/>
          <w:szCs w:val="20"/>
        </w:rPr>
      </w:pPr>
      <w:r w:rsidRPr="00BA1B7B">
        <w:rPr>
          <w:rFonts w:ascii="Arial" w:hAnsi="Arial" w:cs="Arial"/>
          <w:sz w:val="20"/>
          <w:szCs w:val="20"/>
        </w:rPr>
        <w:t>An abnormal biophysical profile</w:t>
      </w:r>
    </w:p>
    <w:p w14:paraId="3BF6A72F" w14:textId="77777777" w:rsidR="009F1AD6" w:rsidRPr="00BA1B7B" w:rsidRDefault="009F1AD6" w:rsidP="004A22FD">
      <w:pPr>
        <w:pStyle w:val="ListParagraph"/>
        <w:numPr>
          <w:ilvl w:val="1"/>
          <w:numId w:val="25"/>
        </w:numPr>
        <w:spacing w:line="276" w:lineRule="auto"/>
        <w:rPr>
          <w:rFonts w:ascii="Arial" w:hAnsi="Arial" w:cs="Arial"/>
          <w:sz w:val="20"/>
          <w:szCs w:val="20"/>
        </w:rPr>
      </w:pPr>
      <w:r w:rsidRPr="00BA1B7B">
        <w:rPr>
          <w:rFonts w:ascii="Arial" w:hAnsi="Arial" w:cs="Arial"/>
          <w:sz w:val="20"/>
          <w:szCs w:val="20"/>
        </w:rPr>
        <w:t>Eastern Health advises that any baby with abnormal SFH growth profile and EFW &lt; 30</w:t>
      </w:r>
      <w:r w:rsidRPr="00BA1B7B">
        <w:rPr>
          <w:rFonts w:ascii="Arial" w:hAnsi="Arial" w:cs="Arial"/>
          <w:sz w:val="20"/>
          <w:szCs w:val="20"/>
          <w:vertAlign w:val="superscript"/>
        </w:rPr>
        <w:t>th</w:t>
      </w:r>
      <w:r w:rsidRPr="00BA1B7B">
        <w:rPr>
          <w:rFonts w:ascii="Arial" w:hAnsi="Arial" w:cs="Arial"/>
          <w:sz w:val="20"/>
          <w:szCs w:val="20"/>
        </w:rPr>
        <w:t xml:space="preserve"> % should be reviewed by an Eastern Health obstetrician</w:t>
      </w:r>
    </w:p>
    <w:p w14:paraId="00787791" w14:textId="77777777" w:rsidR="009F1AD6" w:rsidRPr="00BA1B7B" w:rsidRDefault="009F1AD6" w:rsidP="004A22FD">
      <w:pPr>
        <w:pStyle w:val="ListParagraph"/>
        <w:numPr>
          <w:ilvl w:val="1"/>
          <w:numId w:val="25"/>
        </w:numPr>
        <w:rPr>
          <w:rFonts w:ascii="Arial" w:hAnsi="Arial" w:cs="Arial"/>
          <w:sz w:val="20"/>
          <w:szCs w:val="20"/>
        </w:rPr>
      </w:pPr>
      <w:r w:rsidRPr="00BA1B7B">
        <w:rPr>
          <w:rFonts w:ascii="Arial" w:hAnsi="Arial" w:cs="Arial"/>
          <w:sz w:val="20"/>
          <w:szCs w:val="20"/>
        </w:rPr>
        <w:t>A baby with an EFW &lt; 10</w:t>
      </w:r>
      <w:r w:rsidRPr="00BA1B7B">
        <w:rPr>
          <w:rFonts w:ascii="Arial" w:hAnsi="Arial" w:cs="Arial"/>
          <w:sz w:val="20"/>
          <w:szCs w:val="20"/>
          <w:vertAlign w:val="superscript"/>
        </w:rPr>
        <w:t>th</w:t>
      </w:r>
      <w:r w:rsidRPr="00BA1B7B">
        <w:rPr>
          <w:rFonts w:ascii="Arial" w:hAnsi="Arial" w:cs="Arial"/>
          <w:sz w:val="20"/>
          <w:szCs w:val="20"/>
        </w:rPr>
        <w:t xml:space="preserve"> % on US</w:t>
      </w:r>
    </w:p>
    <w:p w14:paraId="288F9FB6" w14:textId="77777777" w:rsidR="009F1AD6" w:rsidRPr="00BA1B7B" w:rsidRDefault="009F1AD6" w:rsidP="004A22FD">
      <w:pPr>
        <w:pStyle w:val="ListParagraph"/>
        <w:numPr>
          <w:ilvl w:val="1"/>
          <w:numId w:val="25"/>
        </w:numPr>
        <w:rPr>
          <w:rFonts w:ascii="Arial" w:hAnsi="Arial" w:cs="Arial"/>
          <w:sz w:val="20"/>
          <w:szCs w:val="20"/>
        </w:rPr>
      </w:pPr>
      <w:r w:rsidRPr="00BA1B7B">
        <w:rPr>
          <w:rFonts w:ascii="Arial" w:hAnsi="Arial" w:cs="Arial"/>
          <w:sz w:val="20"/>
          <w:szCs w:val="20"/>
        </w:rPr>
        <w:t>A baby with an EFW ≥ 95</w:t>
      </w:r>
      <w:r w:rsidRPr="00BA1B7B">
        <w:rPr>
          <w:rFonts w:ascii="Arial" w:hAnsi="Arial" w:cs="Arial"/>
          <w:sz w:val="20"/>
          <w:szCs w:val="20"/>
          <w:vertAlign w:val="superscript"/>
        </w:rPr>
        <w:t>th</w:t>
      </w:r>
      <w:r w:rsidRPr="00BA1B7B">
        <w:rPr>
          <w:rFonts w:ascii="Arial" w:hAnsi="Arial" w:cs="Arial"/>
          <w:sz w:val="20"/>
          <w:szCs w:val="20"/>
        </w:rPr>
        <w:t xml:space="preserve"> % (if LGA suspected confirm GDM status)</w:t>
      </w:r>
    </w:p>
    <w:p w14:paraId="28EEDF23" w14:textId="77777777" w:rsidR="009F1AD6" w:rsidRPr="00BA1B7B" w:rsidRDefault="009F1AD6" w:rsidP="004A22FD">
      <w:pPr>
        <w:pStyle w:val="ListParagraph"/>
        <w:numPr>
          <w:ilvl w:val="1"/>
          <w:numId w:val="25"/>
        </w:numPr>
        <w:spacing w:line="276" w:lineRule="auto"/>
        <w:rPr>
          <w:rFonts w:ascii="Arial" w:hAnsi="Arial" w:cs="Arial"/>
          <w:sz w:val="20"/>
          <w:szCs w:val="20"/>
        </w:rPr>
      </w:pPr>
      <w:r w:rsidRPr="00BA1B7B">
        <w:rPr>
          <w:rFonts w:ascii="Arial" w:hAnsi="Arial" w:cs="Arial"/>
          <w:sz w:val="20"/>
          <w:szCs w:val="20"/>
        </w:rPr>
        <w:t>A baby whose growth pattern is no longer normal – e.g.: significant drop &gt; 30% in growth</w:t>
      </w:r>
    </w:p>
    <w:p w14:paraId="6EF314C5" w14:textId="77777777" w:rsidR="009F1AD6" w:rsidRPr="00BA1B7B" w:rsidRDefault="009F1AD6" w:rsidP="004A22FD">
      <w:pPr>
        <w:pStyle w:val="ListParagraph"/>
        <w:numPr>
          <w:ilvl w:val="1"/>
          <w:numId w:val="25"/>
        </w:numPr>
        <w:spacing w:line="276" w:lineRule="auto"/>
        <w:rPr>
          <w:rFonts w:ascii="Arial" w:hAnsi="Arial" w:cs="Arial"/>
          <w:sz w:val="20"/>
          <w:szCs w:val="20"/>
        </w:rPr>
      </w:pPr>
      <w:r w:rsidRPr="00BA1B7B">
        <w:rPr>
          <w:rFonts w:ascii="Arial" w:hAnsi="Arial" w:cs="Arial"/>
          <w:sz w:val="20"/>
          <w:szCs w:val="20"/>
        </w:rPr>
        <w:t>Any other concerns</w:t>
      </w:r>
    </w:p>
    <w:p w14:paraId="7E70C3F5" w14:textId="77777777" w:rsidR="009F1AD6" w:rsidRPr="00BA1B7B" w:rsidRDefault="009F1AD6" w:rsidP="009F1AD6">
      <w:pPr>
        <w:rPr>
          <w:rFonts w:ascii="Arial" w:hAnsi="Arial" w:cs="Arial"/>
          <w:sz w:val="20"/>
          <w:szCs w:val="20"/>
        </w:rPr>
      </w:pPr>
      <w:bookmarkStart w:id="66" w:name="_Hlk48222356"/>
      <w:r w:rsidRPr="00BA1B7B">
        <w:rPr>
          <w:rFonts w:ascii="Arial" w:hAnsi="Arial" w:cs="Arial"/>
          <w:sz w:val="20"/>
          <w:szCs w:val="20"/>
        </w:rPr>
        <w:t xml:space="preserve">For further information see links: </w:t>
      </w:r>
    </w:p>
    <w:p w14:paraId="471A964C" w14:textId="77777777" w:rsidR="009F1AD6" w:rsidRPr="00BA1B7B" w:rsidRDefault="00A97F97" w:rsidP="009F1AD6">
      <w:pPr>
        <w:rPr>
          <w:rFonts w:ascii="Arial" w:hAnsi="Arial" w:cs="Arial"/>
          <w:sz w:val="20"/>
          <w:szCs w:val="20"/>
        </w:rPr>
      </w:pPr>
      <w:hyperlink r:id="rId109" w:history="1">
        <w:r w:rsidR="009F1AD6" w:rsidRPr="00BA1B7B">
          <w:rPr>
            <w:rStyle w:val="Hyperlink"/>
            <w:rFonts w:ascii="Arial" w:hAnsi="Arial" w:cs="Arial"/>
            <w:color w:val="auto"/>
            <w:sz w:val="20"/>
            <w:szCs w:val="20"/>
          </w:rPr>
          <w:t>https://resources.stillbirthcre.org.au/elearn/resources/FGR%20Management%20Pathway_V4.pdf</w:t>
        </w:r>
      </w:hyperlink>
    </w:p>
    <w:bookmarkEnd w:id="66"/>
    <w:p w14:paraId="6204CB08" w14:textId="77777777" w:rsidR="009F1AD6" w:rsidRPr="00BA1B7B" w:rsidRDefault="009F1AD6" w:rsidP="009F1AD6">
      <w:pPr>
        <w:rPr>
          <w:rFonts w:ascii="Arial" w:hAnsi="Arial" w:cs="Arial"/>
          <w:sz w:val="20"/>
          <w:szCs w:val="20"/>
        </w:rPr>
      </w:pPr>
    </w:p>
    <w:p w14:paraId="6CEDE18C" w14:textId="77777777" w:rsidR="009F1AD6" w:rsidRPr="00BA1B7B" w:rsidRDefault="00A97F97" w:rsidP="009F1AD6">
      <w:pPr>
        <w:rPr>
          <w:rFonts w:ascii="Arial" w:hAnsi="Arial" w:cs="Arial"/>
          <w:sz w:val="20"/>
          <w:szCs w:val="20"/>
        </w:rPr>
      </w:pPr>
      <w:hyperlink r:id="rId110" w:history="1">
        <w:r w:rsidR="009F1AD6" w:rsidRPr="00BA1B7B">
          <w:rPr>
            <w:rStyle w:val="Hyperlink"/>
            <w:rFonts w:ascii="Arial" w:hAnsi="Arial" w:cs="Arial"/>
            <w:color w:val="auto"/>
            <w:sz w:val="20"/>
            <w:szCs w:val="20"/>
          </w:rPr>
          <w:t>https://resources.stillbirthcre.org.au/elearn/resources/Element%202_Fetal%20Growth%20Restriction%20Position%20Statement.pdf</w:t>
        </w:r>
      </w:hyperlink>
    </w:p>
    <w:p w14:paraId="7CF2AA6C" w14:textId="77777777" w:rsidR="009F1AD6" w:rsidRPr="00BA1B7B" w:rsidRDefault="009F1AD6" w:rsidP="009F1AD6">
      <w:pPr>
        <w:rPr>
          <w:rFonts w:ascii="Arial" w:hAnsi="Arial" w:cs="Arial"/>
          <w:sz w:val="20"/>
          <w:szCs w:val="20"/>
        </w:rPr>
      </w:pPr>
    </w:p>
    <w:p w14:paraId="602E7948" w14:textId="11835998" w:rsidR="009F1AD6" w:rsidRPr="00BA1B7B" w:rsidRDefault="009F1AD6" w:rsidP="007A499C">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67" w:name="_Toc120614304"/>
      <w:r w:rsidRPr="00BA1B7B">
        <w:rPr>
          <w:rFonts w:ascii="Arial" w:eastAsia="Times New Roman" w:hAnsi="Arial" w:cs="Arial"/>
          <w:b/>
          <w:bCs/>
          <w:sz w:val="20"/>
          <w:szCs w:val="20"/>
          <w:lang w:eastAsia="en-AU"/>
        </w:rPr>
        <w:t>6.4 Decreased Fetal Movements</w:t>
      </w:r>
      <w:bookmarkEnd w:id="67"/>
    </w:p>
    <w:p w14:paraId="71EF98C5"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Fetal movements are a reliable indicator of fetal well-being, therefore decreased fetal movements (DFM) is associated with various adverse pregnancy outcomes, including stillbirth.  All maternity care providers are responsible for providing information to women about fetal movements, including actions to take in the event of decreased or absent fetal movement.</w:t>
      </w:r>
    </w:p>
    <w:p w14:paraId="0FC4A0B3"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 xml:space="preserve">Women should be routinely asked at every presentation and appointment from 24 weeks gestation about fetal movements, and reiterated the importance of contacting their HCP if a change in pattern or a decrease in movements is noticed. </w:t>
      </w:r>
    </w:p>
    <w:p w14:paraId="0555B27F" w14:textId="77777777" w:rsidR="009F1AD6" w:rsidRPr="00BA1B7B" w:rsidRDefault="009F1AD6" w:rsidP="009F1AD6">
      <w:pPr>
        <w:rPr>
          <w:rFonts w:ascii="Arial" w:hAnsi="Arial" w:cs="Arial"/>
          <w:sz w:val="20"/>
          <w:szCs w:val="20"/>
        </w:rPr>
      </w:pPr>
      <w:r w:rsidRPr="00BA1B7B">
        <w:rPr>
          <w:rFonts w:ascii="Arial" w:hAnsi="Arial" w:cs="Arial"/>
          <w:sz w:val="20"/>
          <w:szCs w:val="20"/>
        </w:rPr>
        <w:t xml:space="preserve"> Although many women experience DFM at some point during pregnancy, any maternal reporting of a change in movements should be taken seriously. Women should not be falsely reassured by a specific number of movements or be advised to expect fewer movements towards the end of pregnancy. </w:t>
      </w:r>
    </w:p>
    <w:p w14:paraId="43AD5FD8" w14:textId="77777777" w:rsidR="009F1AD6" w:rsidRPr="00BA1B7B" w:rsidRDefault="009F1AD6" w:rsidP="009F1AD6">
      <w:pPr>
        <w:rPr>
          <w:rFonts w:ascii="Arial" w:hAnsi="Arial" w:cs="Arial"/>
          <w:sz w:val="20"/>
          <w:szCs w:val="20"/>
        </w:rPr>
      </w:pPr>
    </w:p>
    <w:p w14:paraId="6D42B3AA" w14:textId="77777777" w:rsidR="009F1AD6" w:rsidRPr="00BA1B7B" w:rsidRDefault="009F1AD6" w:rsidP="009F1AD6">
      <w:pPr>
        <w:spacing w:line="276" w:lineRule="auto"/>
        <w:jc w:val="center"/>
        <w:rPr>
          <w:rFonts w:ascii="Arial" w:hAnsi="Arial" w:cs="Arial"/>
          <w:b/>
          <w:bCs/>
          <w:sz w:val="20"/>
          <w:szCs w:val="20"/>
        </w:rPr>
      </w:pPr>
      <w:r w:rsidRPr="00BA1B7B">
        <w:rPr>
          <w:rFonts w:ascii="Arial" w:hAnsi="Arial" w:cs="Arial"/>
          <w:b/>
          <w:bCs/>
          <w:sz w:val="20"/>
          <w:szCs w:val="20"/>
          <w:u w:val="single"/>
        </w:rPr>
        <w:t>ANY</w:t>
      </w:r>
      <w:r w:rsidRPr="00BA1B7B">
        <w:rPr>
          <w:rFonts w:ascii="Arial" w:hAnsi="Arial" w:cs="Arial"/>
          <w:b/>
          <w:bCs/>
          <w:sz w:val="20"/>
          <w:szCs w:val="20"/>
        </w:rPr>
        <w:t xml:space="preserve"> reports of decreased fetal movement or change in fetal movement detected during an appointment or by telephone – </w:t>
      </w:r>
      <w:r w:rsidRPr="00BA1B7B">
        <w:rPr>
          <w:rFonts w:ascii="Arial" w:hAnsi="Arial" w:cs="Arial"/>
          <w:b/>
          <w:bCs/>
          <w:sz w:val="20"/>
          <w:szCs w:val="20"/>
          <w:u w:val="single"/>
        </w:rPr>
        <w:t>refer immediately</w:t>
      </w:r>
      <w:r w:rsidRPr="00BA1B7B">
        <w:rPr>
          <w:rFonts w:ascii="Arial" w:hAnsi="Arial" w:cs="Arial"/>
          <w:b/>
          <w:bCs/>
          <w:sz w:val="20"/>
          <w:szCs w:val="20"/>
        </w:rPr>
        <w:t xml:space="preserve"> to the allocated birthing hospital for Cardiotocography (CTG) monitoring and review.</w:t>
      </w:r>
    </w:p>
    <w:p w14:paraId="32F36490" w14:textId="77777777" w:rsidR="009F1AD6" w:rsidRPr="00BA1B7B" w:rsidRDefault="009F1AD6" w:rsidP="009F1AD6">
      <w:pPr>
        <w:spacing w:line="276" w:lineRule="auto"/>
        <w:rPr>
          <w:rFonts w:ascii="Arial" w:hAnsi="Arial" w:cs="Arial"/>
          <w:b/>
          <w:bCs/>
          <w:sz w:val="20"/>
          <w:szCs w:val="20"/>
        </w:rPr>
      </w:pPr>
    </w:p>
    <w:p w14:paraId="3E65C00E" w14:textId="77777777" w:rsidR="009F1AD6" w:rsidRPr="00BA1B7B" w:rsidRDefault="009F1AD6" w:rsidP="009F1AD6">
      <w:pPr>
        <w:spacing w:line="276" w:lineRule="auto"/>
        <w:jc w:val="center"/>
        <w:rPr>
          <w:rFonts w:ascii="Arial" w:hAnsi="Arial" w:cs="Arial"/>
          <w:sz w:val="20"/>
          <w:szCs w:val="20"/>
        </w:rPr>
      </w:pPr>
      <w:r w:rsidRPr="00BA1B7B">
        <w:rPr>
          <w:rFonts w:ascii="Arial" w:hAnsi="Arial" w:cs="Arial"/>
          <w:sz w:val="20"/>
          <w:szCs w:val="20"/>
        </w:rPr>
        <w:t xml:space="preserve">Advice such as drink something cold, eat something sugary etc. and wait 1 hour are </w:t>
      </w:r>
      <w:r w:rsidRPr="00BA1B7B">
        <w:rPr>
          <w:rFonts w:ascii="Arial" w:hAnsi="Arial" w:cs="Arial"/>
          <w:b/>
          <w:bCs/>
          <w:sz w:val="20"/>
          <w:szCs w:val="20"/>
          <w:u w:val="single"/>
        </w:rPr>
        <w:t>not</w:t>
      </w:r>
      <w:r w:rsidRPr="00BA1B7B">
        <w:rPr>
          <w:rFonts w:ascii="Arial" w:hAnsi="Arial" w:cs="Arial"/>
          <w:sz w:val="20"/>
          <w:szCs w:val="20"/>
        </w:rPr>
        <w:t xml:space="preserve"> appropriate and should not be recommended. An extended delay in obtaining review in hospital can be fatal.</w:t>
      </w:r>
    </w:p>
    <w:p w14:paraId="6085A776" w14:textId="77777777" w:rsidR="009F1AD6" w:rsidRPr="00BA1B7B" w:rsidRDefault="009F1AD6" w:rsidP="009F1AD6">
      <w:pPr>
        <w:spacing w:line="276" w:lineRule="auto"/>
        <w:jc w:val="center"/>
        <w:rPr>
          <w:rFonts w:ascii="Arial" w:hAnsi="Arial" w:cs="Arial"/>
          <w:sz w:val="20"/>
          <w:szCs w:val="20"/>
        </w:rPr>
      </w:pPr>
    </w:p>
    <w:p w14:paraId="0276338F" w14:textId="77777777" w:rsidR="009F1AD6" w:rsidRPr="00BA1B7B" w:rsidRDefault="009F1AD6" w:rsidP="009F1AD6">
      <w:pPr>
        <w:spacing w:line="276" w:lineRule="auto"/>
        <w:jc w:val="center"/>
        <w:rPr>
          <w:rFonts w:ascii="Arial" w:hAnsi="Arial" w:cs="Arial"/>
          <w:b/>
          <w:bCs/>
          <w:sz w:val="20"/>
          <w:szCs w:val="20"/>
        </w:rPr>
      </w:pPr>
      <w:r w:rsidRPr="00BA1B7B">
        <w:rPr>
          <w:rFonts w:ascii="Arial" w:hAnsi="Arial" w:cs="Arial"/>
          <w:b/>
          <w:bCs/>
          <w:sz w:val="20"/>
          <w:szCs w:val="20"/>
        </w:rPr>
        <w:t>Angliss Birthing Suite: ph 9764 6310</w:t>
      </w:r>
    </w:p>
    <w:p w14:paraId="0BA4B8B0" w14:textId="77777777" w:rsidR="009F1AD6" w:rsidRPr="00BA1B7B" w:rsidRDefault="009F1AD6" w:rsidP="009F1AD6">
      <w:pPr>
        <w:spacing w:line="276" w:lineRule="auto"/>
        <w:jc w:val="center"/>
        <w:rPr>
          <w:rFonts w:ascii="Arial" w:hAnsi="Arial" w:cs="Arial"/>
          <w:b/>
          <w:bCs/>
          <w:sz w:val="20"/>
          <w:szCs w:val="20"/>
        </w:rPr>
      </w:pPr>
      <w:r w:rsidRPr="00BA1B7B">
        <w:rPr>
          <w:rFonts w:ascii="Arial" w:hAnsi="Arial" w:cs="Arial"/>
          <w:b/>
          <w:bCs/>
          <w:sz w:val="20"/>
          <w:szCs w:val="20"/>
        </w:rPr>
        <w:t>Box Hill Birthing Suite: ph 9975 6364</w:t>
      </w:r>
    </w:p>
    <w:p w14:paraId="494DF335" w14:textId="77777777" w:rsidR="009F1AD6" w:rsidRPr="00BA1B7B" w:rsidRDefault="009F1AD6" w:rsidP="009F1AD6">
      <w:pPr>
        <w:spacing w:line="276" w:lineRule="auto"/>
        <w:rPr>
          <w:rFonts w:ascii="Arial" w:hAnsi="Arial" w:cs="Arial"/>
          <w:sz w:val="20"/>
          <w:szCs w:val="20"/>
        </w:rPr>
      </w:pPr>
    </w:p>
    <w:p w14:paraId="4E781CB9" w14:textId="77777777" w:rsidR="00603877" w:rsidRPr="00BA1B7B" w:rsidRDefault="00603877" w:rsidP="009F1AD6">
      <w:pPr>
        <w:spacing w:line="276" w:lineRule="auto"/>
        <w:rPr>
          <w:rFonts w:ascii="Arial" w:hAnsi="Arial" w:cs="Arial"/>
          <w:sz w:val="20"/>
          <w:szCs w:val="20"/>
        </w:rPr>
      </w:pPr>
    </w:p>
    <w:p w14:paraId="70F2C603" w14:textId="77777777" w:rsidR="00603877" w:rsidRPr="00BA1B7B" w:rsidRDefault="00603877" w:rsidP="009F1AD6">
      <w:pPr>
        <w:spacing w:line="276" w:lineRule="auto"/>
        <w:rPr>
          <w:rFonts w:ascii="Arial" w:hAnsi="Arial" w:cs="Arial"/>
          <w:sz w:val="20"/>
          <w:szCs w:val="20"/>
        </w:rPr>
      </w:pPr>
    </w:p>
    <w:p w14:paraId="2CA35501" w14:textId="77777777" w:rsidR="00603877" w:rsidRPr="00BA1B7B" w:rsidRDefault="00603877" w:rsidP="009F1AD6">
      <w:pPr>
        <w:spacing w:line="276" w:lineRule="auto"/>
        <w:rPr>
          <w:rFonts w:ascii="Arial" w:hAnsi="Arial" w:cs="Arial"/>
          <w:sz w:val="20"/>
          <w:szCs w:val="20"/>
        </w:rPr>
      </w:pPr>
    </w:p>
    <w:p w14:paraId="1100E135"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lastRenderedPageBreak/>
        <w:t xml:space="preserve">Following presentation to the hospital for decreased movements review; all women will receive advice on any ongoing management plans required, these plans will be dependent on gestation, number of presentations and other clinical factors. </w:t>
      </w:r>
    </w:p>
    <w:p w14:paraId="69CC598F" w14:textId="77777777" w:rsidR="009F1AD6" w:rsidRPr="00BA1B7B" w:rsidRDefault="009F1AD6" w:rsidP="009F1AD6">
      <w:pPr>
        <w:spacing w:line="276" w:lineRule="auto"/>
        <w:rPr>
          <w:rFonts w:ascii="Arial" w:hAnsi="Arial" w:cs="Arial"/>
          <w:sz w:val="20"/>
          <w:szCs w:val="20"/>
        </w:rPr>
      </w:pPr>
    </w:p>
    <w:p w14:paraId="5F94C2B3"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Additional Resources – Safer Care Victoria: Decreased Fetal Movements</w:t>
      </w:r>
    </w:p>
    <w:bookmarkStart w:id="68" w:name="_Hlk48222970"/>
    <w:p w14:paraId="68FE419D" w14:textId="77777777" w:rsidR="009F1AD6" w:rsidRPr="00BA1B7B" w:rsidRDefault="009F1AD6" w:rsidP="009F1AD6">
      <w:pPr>
        <w:spacing w:line="276" w:lineRule="auto"/>
        <w:rPr>
          <w:rFonts w:ascii="Arial" w:hAnsi="Arial" w:cs="Arial"/>
          <w:sz w:val="20"/>
          <w:szCs w:val="20"/>
        </w:rPr>
      </w:pPr>
      <w:r w:rsidRPr="00BA1B7B">
        <w:fldChar w:fldCharType="begin"/>
      </w:r>
      <w:r w:rsidRPr="00BA1B7B">
        <w:rPr>
          <w:rFonts w:ascii="Arial" w:hAnsi="Arial" w:cs="Arial"/>
          <w:sz w:val="20"/>
          <w:szCs w:val="20"/>
        </w:rPr>
        <w:instrText xml:space="preserve"> HYPERLINK "https://resources.stillbirthcre.org.au/elearn/resources/DFM%20Management%20Pathway.pdf" </w:instrText>
      </w:r>
      <w:r w:rsidRPr="00BA1B7B">
        <w:fldChar w:fldCharType="separate"/>
      </w:r>
      <w:r w:rsidRPr="00BA1B7B">
        <w:rPr>
          <w:rStyle w:val="Hyperlink"/>
          <w:rFonts w:ascii="Arial" w:hAnsi="Arial" w:cs="Arial"/>
          <w:color w:val="auto"/>
          <w:sz w:val="20"/>
          <w:szCs w:val="20"/>
        </w:rPr>
        <w:t>https://resources.stillbirthcre.org.au/elearn/resources/DFM%20Management%20Pathway.pdf</w:t>
      </w:r>
      <w:r w:rsidRPr="00BA1B7B">
        <w:rPr>
          <w:rStyle w:val="Hyperlink"/>
          <w:rFonts w:ascii="Arial" w:hAnsi="Arial" w:cs="Arial"/>
          <w:color w:val="auto"/>
          <w:sz w:val="20"/>
          <w:szCs w:val="20"/>
        </w:rPr>
        <w:fldChar w:fldCharType="end"/>
      </w:r>
    </w:p>
    <w:bookmarkEnd w:id="68"/>
    <w:p w14:paraId="7D281626" w14:textId="77777777" w:rsidR="009F1AD6" w:rsidRPr="00BA1B7B" w:rsidRDefault="009F1AD6" w:rsidP="009F1AD6">
      <w:pPr>
        <w:rPr>
          <w:rFonts w:ascii="Arial" w:hAnsi="Arial" w:cs="Arial"/>
          <w:b/>
          <w:bCs/>
          <w:sz w:val="20"/>
          <w:szCs w:val="20"/>
        </w:rPr>
      </w:pPr>
    </w:p>
    <w:p w14:paraId="05E6A226" w14:textId="4D4B3E13" w:rsidR="009F1AD6" w:rsidRPr="00BA1B7B" w:rsidRDefault="009F1AD6"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69" w:name="_Toc120614305"/>
      <w:r w:rsidRPr="00BA1B7B">
        <w:rPr>
          <w:rFonts w:ascii="Arial" w:eastAsia="Times New Roman" w:hAnsi="Arial" w:cs="Arial"/>
          <w:b/>
          <w:bCs/>
          <w:sz w:val="20"/>
          <w:szCs w:val="20"/>
          <w:lang w:eastAsia="en-AU"/>
        </w:rPr>
        <w:t>6.5 Breech Presentation:</w:t>
      </w:r>
      <w:bookmarkEnd w:id="69"/>
    </w:p>
    <w:p w14:paraId="72877269"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 xml:space="preserve">Beyond 30 weeks gestation, routine abdominal examination at each antenatal appointment should identify lie and presentation of the fetus. </w:t>
      </w:r>
    </w:p>
    <w:p w14:paraId="513D1A0F"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Breech presentation is a normal finding in preterm pregnancies and should not be considered abnormal until after 36 weeks gestation. If presentation is uncertain &gt; 34 weeks, ultrasound should be arranged to confirm presentation.</w:t>
      </w:r>
    </w:p>
    <w:p w14:paraId="301D8B4A"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 xml:space="preserve"> 3-4% of pregnancies present as undiagnosed breech at term in labour.  This could potentially be reduced with careful attention to presentation in the late third trimester.</w:t>
      </w:r>
    </w:p>
    <w:p w14:paraId="7875678D" w14:textId="77777777" w:rsidR="009F1AD6" w:rsidRPr="00BA1B7B" w:rsidRDefault="009F1AD6" w:rsidP="009F1AD6">
      <w:pPr>
        <w:spacing w:line="276" w:lineRule="auto"/>
        <w:rPr>
          <w:rFonts w:ascii="Arial" w:hAnsi="Arial" w:cs="Arial"/>
          <w:b/>
          <w:bCs/>
          <w:sz w:val="20"/>
          <w:szCs w:val="20"/>
          <w:u w:val="single"/>
        </w:rPr>
      </w:pPr>
    </w:p>
    <w:p w14:paraId="4B128BFA" w14:textId="5F97E617" w:rsidR="009F1AD6" w:rsidRDefault="009F1AD6" w:rsidP="009F1AD6">
      <w:pPr>
        <w:spacing w:line="276" w:lineRule="auto"/>
        <w:rPr>
          <w:rFonts w:ascii="Arial" w:hAnsi="Arial" w:cs="Arial"/>
          <w:b/>
          <w:bCs/>
          <w:sz w:val="20"/>
          <w:szCs w:val="20"/>
          <w:u w:val="single"/>
        </w:rPr>
      </w:pPr>
      <w:r w:rsidRPr="00BA1B7B">
        <w:rPr>
          <w:rFonts w:ascii="Arial" w:hAnsi="Arial" w:cs="Arial"/>
          <w:b/>
          <w:bCs/>
          <w:sz w:val="20"/>
          <w:szCs w:val="20"/>
          <w:u w:val="single"/>
        </w:rPr>
        <w:t xml:space="preserve">Management of the Breech Presentation: </w:t>
      </w:r>
    </w:p>
    <w:p w14:paraId="6162F910" w14:textId="77777777" w:rsidR="005F1FD7" w:rsidRPr="00BA1B7B" w:rsidRDefault="005F1FD7" w:rsidP="009F1AD6">
      <w:pPr>
        <w:spacing w:line="276" w:lineRule="auto"/>
        <w:rPr>
          <w:rFonts w:ascii="Arial" w:hAnsi="Arial" w:cs="Arial"/>
          <w:b/>
          <w:bCs/>
          <w:sz w:val="20"/>
          <w:szCs w:val="20"/>
          <w:u w:val="single"/>
        </w:rPr>
      </w:pPr>
    </w:p>
    <w:p w14:paraId="2190C41F"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 xml:space="preserve">If abdominal palpation/abdominal ultrasound confirms breech presentation at 34 weeks gestation. Women should be rebooked for their next antenatal appointment (if not already) to see an obstetric consultant or obstetric registrar at their birthing hospital.  </w:t>
      </w:r>
    </w:p>
    <w:p w14:paraId="49C0ABFB"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(Current schedule of visits recommends 36/40 appointment booked with a consultant in GP SC)</w:t>
      </w:r>
    </w:p>
    <w:p w14:paraId="7F92AA66"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At this next appointment if the baby remains in the breech position; the obstetrician will discuss the management options moving forward. External Cephalic Version, (ECV) Elective Caesarean and Vaginal Breech Birth.  These options will vary dependant on a maternal history and fetal wellbeing.</w:t>
      </w:r>
    </w:p>
    <w:p w14:paraId="38A012AD" w14:textId="77777777" w:rsidR="009F1AD6" w:rsidRPr="00BA1B7B" w:rsidRDefault="009F1AD6" w:rsidP="009F1AD6">
      <w:pPr>
        <w:rPr>
          <w:rFonts w:ascii="Arial" w:hAnsi="Arial" w:cs="Arial"/>
          <w:sz w:val="20"/>
          <w:szCs w:val="20"/>
        </w:rPr>
      </w:pPr>
    </w:p>
    <w:p w14:paraId="6FF947FE" w14:textId="30AE8463" w:rsidR="009F1AD6" w:rsidRPr="00BA1B7B" w:rsidRDefault="009F1AD6"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70" w:name="_Toc120614306"/>
      <w:r w:rsidRPr="00BA1B7B">
        <w:rPr>
          <w:rFonts w:ascii="Arial" w:eastAsia="Times New Roman" w:hAnsi="Arial" w:cs="Arial"/>
          <w:b/>
          <w:bCs/>
          <w:sz w:val="20"/>
          <w:szCs w:val="20"/>
          <w:lang w:eastAsia="en-AU"/>
        </w:rPr>
        <w:t>6.6 Low Lying Placenta at 20 weeks gestation:</w:t>
      </w:r>
      <w:bookmarkEnd w:id="70"/>
    </w:p>
    <w:p w14:paraId="7C8EDBE4"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 xml:space="preserve">The Placental location and position should be noted upon reviewing the 20-week ultrasound report. </w:t>
      </w:r>
    </w:p>
    <w:p w14:paraId="0F96B743"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 xml:space="preserve">Any woman that has a reported low-lying placenta (&lt; 20mm from the internal OS) at the 20-week scan requires an additional ultrasound at 32-34 weeks gestation to identify a persistently low-lying placenta or placenta praevia.  A referral for this ultrasound can be provided by the shared care GP or by Eastern Health. </w:t>
      </w:r>
    </w:p>
    <w:p w14:paraId="24013B84" w14:textId="77777777" w:rsidR="009F1AD6" w:rsidRPr="00BA1B7B" w:rsidRDefault="009F1AD6" w:rsidP="009F1AD6">
      <w:pPr>
        <w:spacing w:line="276" w:lineRule="auto"/>
        <w:rPr>
          <w:rFonts w:ascii="Arial" w:hAnsi="Arial" w:cs="Arial"/>
          <w:sz w:val="20"/>
          <w:szCs w:val="20"/>
        </w:rPr>
      </w:pPr>
      <w:r w:rsidRPr="00BA1B7B">
        <w:rPr>
          <w:rFonts w:ascii="Arial" w:hAnsi="Arial" w:cs="Arial"/>
          <w:sz w:val="20"/>
          <w:szCs w:val="20"/>
        </w:rPr>
        <w:t>Following this scan, if the placenta remains low-lying or a placenta praevia/accrete/percreta/increta or vasa praevia is confirmed. The woman is no longer suitable for shared care and requires transfer of care back to the Eastern Health for obstetric led care. (Red Pathway)</w:t>
      </w:r>
    </w:p>
    <w:p w14:paraId="7C925A08" w14:textId="50F47A54" w:rsidR="009F1AD6" w:rsidRDefault="009F1AD6" w:rsidP="009F1AD6">
      <w:pPr>
        <w:spacing w:line="276" w:lineRule="auto"/>
        <w:rPr>
          <w:rFonts w:ascii="Arial" w:hAnsi="Arial" w:cs="Arial"/>
          <w:sz w:val="20"/>
          <w:szCs w:val="20"/>
        </w:rPr>
      </w:pPr>
      <w:r w:rsidRPr="00BA1B7B">
        <w:rPr>
          <w:rFonts w:ascii="Arial" w:hAnsi="Arial" w:cs="Arial"/>
          <w:sz w:val="20"/>
          <w:szCs w:val="20"/>
        </w:rPr>
        <w:t xml:space="preserve">Women diagnosed with a low-lying placenta should be advised to promptly present to the hospital emergency department if there is any vaginal bleeding. </w:t>
      </w:r>
    </w:p>
    <w:p w14:paraId="4E05C0C8" w14:textId="19E8ED3F" w:rsidR="005F1FD7" w:rsidRDefault="005F1FD7" w:rsidP="009F1AD6">
      <w:pPr>
        <w:spacing w:line="276" w:lineRule="auto"/>
        <w:rPr>
          <w:rFonts w:ascii="Arial" w:hAnsi="Arial" w:cs="Arial"/>
          <w:sz w:val="20"/>
          <w:szCs w:val="20"/>
        </w:rPr>
      </w:pPr>
    </w:p>
    <w:p w14:paraId="17E23A38" w14:textId="104E161C" w:rsidR="005F1FD7" w:rsidRDefault="005F1FD7" w:rsidP="009F1AD6">
      <w:pPr>
        <w:spacing w:line="276" w:lineRule="auto"/>
        <w:rPr>
          <w:rFonts w:ascii="Arial" w:hAnsi="Arial" w:cs="Arial"/>
          <w:sz w:val="20"/>
          <w:szCs w:val="20"/>
        </w:rPr>
      </w:pPr>
    </w:p>
    <w:p w14:paraId="1EB2EFB7" w14:textId="77777777" w:rsidR="005F1FD7" w:rsidRPr="005F1FD7" w:rsidRDefault="005F1FD7" w:rsidP="009F1AD6">
      <w:pPr>
        <w:spacing w:line="276" w:lineRule="auto"/>
        <w:rPr>
          <w:rFonts w:ascii="Arial" w:hAnsi="Arial" w:cs="Arial"/>
          <w:sz w:val="20"/>
          <w:szCs w:val="20"/>
        </w:rPr>
      </w:pPr>
    </w:p>
    <w:p w14:paraId="0CFBB2AA" w14:textId="2DE7539B" w:rsidR="001D2555" w:rsidRPr="00BA1B7B" w:rsidRDefault="004A22FD" w:rsidP="004A22FD">
      <w:pPr>
        <w:shd w:val="clear" w:color="auto" w:fill="FFFFFF"/>
        <w:spacing w:before="100" w:beforeAutospacing="1" w:after="100" w:afterAutospacing="1"/>
        <w:outlineLvl w:val="1"/>
        <w:rPr>
          <w:rFonts w:ascii="Arial" w:hAnsi="Arial" w:cs="Arial"/>
          <w:sz w:val="20"/>
          <w:szCs w:val="20"/>
        </w:rPr>
      </w:pPr>
      <w:bookmarkStart w:id="71" w:name="_Toc120614307"/>
      <w:r w:rsidRPr="00BA1B7B">
        <w:rPr>
          <w:rFonts w:ascii="Arial" w:eastAsia="Times New Roman" w:hAnsi="Arial" w:cs="Arial"/>
          <w:b/>
          <w:bCs/>
          <w:sz w:val="20"/>
          <w:szCs w:val="20"/>
          <w:lang w:eastAsia="en-AU"/>
        </w:rPr>
        <w:t xml:space="preserve">6.7 Section 6: </w:t>
      </w:r>
      <w:r w:rsidR="00603877" w:rsidRPr="00BA1B7B">
        <w:rPr>
          <w:rFonts w:ascii="Arial" w:eastAsia="Times New Roman" w:hAnsi="Arial" w:cs="Arial"/>
          <w:b/>
          <w:bCs/>
          <w:sz w:val="20"/>
          <w:szCs w:val="20"/>
          <w:lang w:eastAsia="en-AU"/>
        </w:rPr>
        <w:t>References and Resources</w:t>
      </w:r>
      <w:bookmarkEnd w:id="71"/>
    </w:p>
    <w:p w14:paraId="67EA287F" w14:textId="77777777" w:rsidR="00603877" w:rsidRPr="00BA1B7B" w:rsidRDefault="00603877" w:rsidP="004A22FD">
      <w:pPr>
        <w:pStyle w:val="ListParagraph"/>
        <w:numPr>
          <w:ilvl w:val="0"/>
          <w:numId w:val="33"/>
        </w:numPr>
        <w:spacing w:before="2" w:line="276" w:lineRule="auto"/>
        <w:ind w:right="228"/>
        <w:rPr>
          <w:rFonts w:ascii="Arial" w:hAnsi="Arial" w:cs="Arial"/>
          <w:sz w:val="20"/>
          <w:szCs w:val="20"/>
        </w:rPr>
      </w:pPr>
      <w:r w:rsidRPr="00BA1B7B">
        <w:rPr>
          <w:rFonts w:ascii="Arial" w:hAnsi="Arial" w:cs="Arial"/>
          <w:sz w:val="20"/>
          <w:szCs w:val="20"/>
        </w:rPr>
        <w:lastRenderedPageBreak/>
        <w:t xml:space="preserve">Australian College of Midwives (2013). ‘National Midwifery Guidelines for Consultation and Referral.’ Australian College of Midwives [online] (3rd Edition, Issue 2). </w:t>
      </w:r>
      <w:hyperlink r:id="rId111" w:history="1">
        <w:r w:rsidRPr="00BA1B7B">
          <w:rPr>
            <w:rStyle w:val="Hyperlink"/>
            <w:rFonts w:ascii="Arial" w:hAnsi="Arial" w:cs="Arial"/>
            <w:color w:val="auto"/>
            <w:sz w:val="20"/>
            <w:szCs w:val="20"/>
          </w:rPr>
          <w:t>https://1-midwives.cdn.aspedia.net/sites/default/files/uploaded-content/field_f_content_file/</w:t>
        </w:r>
      </w:hyperlink>
      <w:r w:rsidRPr="00BA1B7B">
        <w:rPr>
          <w:rFonts w:ascii="Arial" w:hAnsi="Arial" w:cs="Arial"/>
          <w:sz w:val="20"/>
          <w:szCs w:val="20"/>
        </w:rPr>
        <w:t xml:space="preserve"> </w:t>
      </w:r>
      <w:hyperlink r:id="rId112" w:history="1">
        <w:r w:rsidRPr="00BA1B7B">
          <w:rPr>
            <w:rStyle w:val="Hyperlink"/>
            <w:rFonts w:ascii="Arial" w:hAnsi="Arial" w:cs="Arial"/>
            <w:color w:val="auto"/>
            <w:sz w:val="20"/>
            <w:szCs w:val="20"/>
          </w:rPr>
          <w:t>with_covers_guidelines_3rd_edition_issue_2_final_2017.pdf</w:t>
        </w:r>
      </w:hyperlink>
    </w:p>
    <w:p w14:paraId="1D208C25" w14:textId="77777777" w:rsidR="00603877" w:rsidRPr="00BA1B7B" w:rsidRDefault="00603877" w:rsidP="00603877">
      <w:pPr>
        <w:pStyle w:val="ListParagraph"/>
        <w:spacing w:before="55" w:line="276" w:lineRule="auto"/>
        <w:rPr>
          <w:rFonts w:ascii="Arial" w:hAnsi="Arial" w:cs="Arial"/>
          <w:sz w:val="20"/>
          <w:szCs w:val="20"/>
        </w:rPr>
      </w:pPr>
    </w:p>
    <w:p w14:paraId="04AD3286" w14:textId="77777777" w:rsidR="00603877" w:rsidRPr="00BA1B7B" w:rsidRDefault="00603877" w:rsidP="004A22FD">
      <w:pPr>
        <w:pStyle w:val="ListParagraph"/>
        <w:numPr>
          <w:ilvl w:val="0"/>
          <w:numId w:val="32"/>
        </w:numPr>
        <w:spacing w:before="57" w:line="276" w:lineRule="auto"/>
        <w:ind w:right="100"/>
        <w:rPr>
          <w:rFonts w:ascii="Arial" w:hAnsi="Arial" w:cs="Arial"/>
          <w:sz w:val="20"/>
          <w:szCs w:val="20"/>
        </w:rPr>
      </w:pPr>
      <w:r w:rsidRPr="00BA1B7B">
        <w:rPr>
          <w:rFonts w:ascii="Arial" w:hAnsi="Arial" w:cs="Arial"/>
          <w:sz w:val="20"/>
          <w:szCs w:val="20"/>
        </w:rPr>
        <w:t>Boers et al. (2010). Induction versus expectant monitoring for intrauterine growth restriction at term: randomised equivalence trial (DIGITAT). BMJ, 341(dec21 1), pp.c7087-c7087.</w:t>
      </w:r>
    </w:p>
    <w:p w14:paraId="0377F24F" w14:textId="77777777" w:rsidR="00603877" w:rsidRPr="00BA1B7B" w:rsidRDefault="00A97F97" w:rsidP="004A22FD">
      <w:pPr>
        <w:pStyle w:val="ListParagraph"/>
        <w:numPr>
          <w:ilvl w:val="0"/>
          <w:numId w:val="32"/>
        </w:numPr>
        <w:spacing w:before="2" w:line="276" w:lineRule="auto"/>
        <w:ind w:right="114"/>
        <w:rPr>
          <w:rFonts w:ascii="Arial" w:hAnsi="Arial" w:cs="Arial"/>
          <w:sz w:val="20"/>
          <w:szCs w:val="20"/>
        </w:rPr>
      </w:pPr>
      <w:hyperlink r:id="rId113" w:history="1">
        <w:r w:rsidR="00603877" w:rsidRPr="00BA1B7B">
          <w:rPr>
            <w:rStyle w:val="Hyperlink"/>
            <w:rFonts w:ascii="Arial" w:hAnsi="Arial" w:cs="Arial"/>
            <w:color w:val="auto"/>
            <w:sz w:val="20"/>
            <w:szCs w:val="20"/>
          </w:rPr>
          <w:t>http://www.bmj.com/content/341/bmj.c7087</w:t>
        </w:r>
      </w:hyperlink>
    </w:p>
    <w:p w14:paraId="2B9779F2" w14:textId="77777777" w:rsidR="00603877" w:rsidRPr="00BA1B7B" w:rsidRDefault="00603877" w:rsidP="00603877">
      <w:pPr>
        <w:pStyle w:val="ListParagraph"/>
        <w:spacing w:before="2" w:line="276" w:lineRule="auto"/>
        <w:ind w:right="516"/>
        <w:rPr>
          <w:rFonts w:ascii="Arial" w:hAnsi="Arial" w:cs="Arial"/>
          <w:sz w:val="20"/>
          <w:szCs w:val="20"/>
        </w:rPr>
      </w:pPr>
    </w:p>
    <w:p w14:paraId="6D2E0A0F" w14:textId="77777777" w:rsidR="00603877" w:rsidRPr="00BA1B7B" w:rsidRDefault="00603877" w:rsidP="004A22FD">
      <w:pPr>
        <w:pStyle w:val="ListParagraph"/>
        <w:numPr>
          <w:ilvl w:val="0"/>
          <w:numId w:val="32"/>
        </w:numPr>
        <w:spacing w:before="2" w:line="276" w:lineRule="auto"/>
        <w:ind w:right="516"/>
        <w:rPr>
          <w:rStyle w:val="Hyperlink"/>
          <w:rFonts w:ascii="Arial" w:hAnsi="Arial" w:cs="Arial"/>
          <w:color w:val="auto"/>
          <w:sz w:val="20"/>
          <w:szCs w:val="20"/>
        </w:rPr>
      </w:pPr>
      <w:r w:rsidRPr="00BA1B7B">
        <w:rPr>
          <w:rFonts w:ascii="Arial" w:hAnsi="Arial" w:cs="Arial"/>
          <w:sz w:val="20"/>
          <w:szCs w:val="20"/>
        </w:rPr>
        <w:t xml:space="preserve">Chauhan, et al., (2009). Intrauterine growth restriction: comparison of </w:t>
      </w:r>
      <w:r w:rsidRPr="00BA1B7B">
        <w:rPr>
          <w:rFonts w:ascii="Arial" w:hAnsi="Arial" w:cs="Arial"/>
          <w:i/>
          <w:sz w:val="20"/>
          <w:szCs w:val="20"/>
        </w:rPr>
        <w:t xml:space="preserve">American College of Obstetricians and Gynecologists </w:t>
      </w:r>
      <w:r w:rsidRPr="00BA1B7B">
        <w:rPr>
          <w:rFonts w:ascii="Arial" w:hAnsi="Arial" w:cs="Arial"/>
          <w:sz w:val="20"/>
          <w:szCs w:val="20"/>
        </w:rPr>
        <w:t xml:space="preserve">practice bulletin with other national guidelines. American Journal of Obstetrics and Gynecology, [online] 200(4), pp.409.e1-409.e6. Available at: </w:t>
      </w:r>
      <w:hyperlink r:id="rId114" w:history="1">
        <w:r w:rsidRPr="00BA1B7B">
          <w:rPr>
            <w:rStyle w:val="Hyperlink"/>
            <w:rFonts w:ascii="Arial" w:hAnsi="Arial" w:cs="Arial"/>
            <w:color w:val="auto"/>
            <w:sz w:val="20"/>
            <w:szCs w:val="20"/>
          </w:rPr>
          <w:t>https://www.ajog.org/article/S0002-9378(08)02244-8/pdf</w:t>
        </w:r>
      </w:hyperlink>
    </w:p>
    <w:p w14:paraId="1A44D6CA" w14:textId="77777777" w:rsidR="00603877" w:rsidRPr="00BA1B7B" w:rsidRDefault="00603877" w:rsidP="00603877">
      <w:pPr>
        <w:pStyle w:val="ListParagraph"/>
        <w:spacing w:before="2" w:line="276" w:lineRule="auto"/>
        <w:ind w:right="516"/>
        <w:rPr>
          <w:rFonts w:ascii="Arial" w:hAnsi="Arial" w:cs="Arial"/>
          <w:sz w:val="20"/>
          <w:szCs w:val="20"/>
        </w:rPr>
      </w:pPr>
    </w:p>
    <w:p w14:paraId="5DF0C83E"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 xml:space="preserve">Department of Health (2020) Clinical Practice Guidelines: Pregnancy Care. Canberra: Australian Government Department of Health. </w:t>
      </w:r>
      <w:hyperlink r:id="rId115" w:history="1">
        <w:r w:rsidRPr="00BA1B7B">
          <w:rPr>
            <w:rStyle w:val="Hyperlink"/>
            <w:rFonts w:ascii="Arial" w:hAnsi="Arial" w:cs="Arial"/>
            <w:color w:val="auto"/>
            <w:sz w:val="20"/>
            <w:szCs w:val="20"/>
          </w:rPr>
          <w:t>https://www.health.gov.au/resources/pregnancy-care-guidelines/part-d-clinical-assessments/fetal-growth-restriction-and-well-being</w:t>
        </w:r>
      </w:hyperlink>
    </w:p>
    <w:p w14:paraId="793EC996" w14:textId="77777777" w:rsidR="00603877" w:rsidRPr="00BA1B7B" w:rsidRDefault="00603877" w:rsidP="00603877">
      <w:pPr>
        <w:pStyle w:val="ListParagraph"/>
        <w:spacing w:line="276" w:lineRule="auto"/>
        <w:rPr>
          <w:rFonts w:ascii="Arial" w:hAnsi="Arial" w:cs="Arial"/>
          <w:sz w:val="20"/>
          <w:szCs w:val="20"/>
        </w:rPr>
      </w:pPr>
    </w:p>
    <w:p w14:paraId="78C8823D"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 xml:space="preserve"> Department of Health (2020) Clinical Practice Guidelines: Pregnancy Care. Canberra: Australian Government Department of Health: </w:t>
      </w:r>
      <w:hyperlink r:id="rId116" w:anchor="613-breech-presentation" w:history="1">
        <w:r w:rsidRPr="00BA1B7B">
          <w:rPr>
            <w:rStyle w:val="Hyperlink"/>
            <w:rFonts w:ascii="Arial" w:hAnsi="Arial" w:cs="Arial"/>
            <w:color w:val="auto"/>
            <w:sz w:val="20"/>
            <w:szCs w:val="20"/>
          </w:rPr>
          <w:t>https://www.health.gov.au/resources/pregnancy-care-guidelines/part-j-clinical-assessments-in-late-pregnancy/fetal-presentation#613-breech-presentation</w:t>
        </w:r>
      </w:hyperlink>
      <w:r w:rsidRPr="00BA1B7B">
        <w:rPr>
          <w:rFonts w:ascii="Arial" w:hAnsi="Arial" w:cs="Arial"/>
          <w:sz w:val="20"/>
          <w:szCs w:val="20"/>
        </w:rPr>
        <w:t xml:space="preserve"> </w:t>
      </w:r>
    </w:p>
    <w:p w14:paraId="3F395D04" w14:textId="77777777" w:rsidR="00603877" w:rsidRPr="00BA1B7B" w:rsidRDefault="00603877" w:rsidP="00603877">
      <w:pPr>
        <w:pStyle w:val="ListParagraph"/>
        <w:spacing w:line="276" w:lineRule="auto"/>
        <w:rPr>
          <w:rFonts w:ascii="Arial" w:hAnsi="Arial" w:cs="Arial"/>
          <w:sz w:val="20"/>
          <w:szCs w:val="20"/>
        </w:rPr>
      </w:pPr>
    </w:p>
    <w:p w14:paraId="16B229DD" w14:textId="77777777" w:rsidR="00603877" w:rsidRPr="00BA1B7B" w:rsidRDefault="00603877" w:rsidP="004A22FD">
      <w:pPr>
        <w:pStyle w:val="ListParagraph"/>
        <w:numPr>
          <w:ilvl w:val="0"/>
          <w:numId w:val="32"/>
        </w:numPr>
        <w:spacing w:before="57" w:line="276" w:lineRule="auto"/>
        <w:ind w:right="67"/>
        <w:rPr>
          <w:rFonts w:ascii="Arial" w:hAnsi="Arial" w:cs="Arial"/>
          <w:sz w:val="20"/>
          <w:szCs w:val="20"/>
        </w:rPr>
      </w:pPr>
      <w:r w:rsidRPr="00BA1B7B">
        <w:rPr>
          <w:rFonts w:ascii="Arial" w:hAnsi="Arial" w:cs="Arial"/>
          <w:sz w:val="20"/>
          <w:szCs w:val="20"/>
        </w:rPr>
        <w:t>Diksha P, Permezel M, Pritchard N. (2018). Why we miss fetal growth restriction: Identification of risk factors for severely growth-restricted fetuses remaining undelivered by 40 weeks gestation. The Australian &amp; New Zealand journal of obstetrics &amp; gynaecology, Apr. 27</w:t>
      </w:r>
    </w:p>
    <w:p w14:paraId="4BFCBABB" w14:textId="77777777" w:rsidR="00603877" w:rsidRPr="00BA1B7B" w:rsidRDefault="00A97F97" w:rsidP="004A22FD">
      <w:pPr>
        <w:pStyle w:val="ListParagraph"/>
        <w:numPr>
          <w:ilvl w:val="0"/>
          <w:numId w:val="32"/>
        </w:numPr>
        <w:spacing w:before="55" w:line="276" w:lineRule="auto"/>
        <w:rPr>
          <w:rFonts w:ascii="Arial" w:hAnsi="Arial" w:cs="Arial"/>
          <w:sz w:val="20"/>
          <w:szCs w:val="20"/>
        </w:rPr>
      </w:pPr>
      <w:hyperlink r:id="rId117" w:history="1">
        <w:r w:rsidR="00603877" w:rsidRPr="00BA1B7B">
          <w:rPr>
            <w:rStyle w:val="Hyperlink"/>
            <w:rFonts w:ascii="Arial" w:hAnsi="Arial" w:cs="Arial"/>
            <w:color w:val="auto"/>
            <w:sz w:val="20"/>
            <w:szCs w:val="20"/>
          </w:rPr>
          <w:t>https://www.ncbi.nlm.nih.gov/pubmed/29700827</w:t>
        </w:r>
      </w:hyperlink>
    </w:p>
    <w:p w14:paraId="399481A8" w14:textId="77777777" w:rsidR="00603877" w:rsidRPr="00BA1B7B" w:rsidRDefault="00603877" w:rsidP="00603877">
      <w:pPr>
        <w:pStyle w:val="ListParagraph"/>
        <w:spacing w:before="2" w:line="276" w:lineRule="auto"/>
        <w:ind w:right="182"/>
        <w:jc w:val="both"/>
        <w:rPr>
          <w:rFonts w:ascii="Arial" w:hAnsi="Arial" w:cs="Arial"/>
          <w:sz w:val="20"/>
          <w:szCs w:val="20"/>
        </w:rPr>
      </w:pPr>
    </w:p>
    <w:p w14:paraId="113EEF30"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EH Policy 2100 – Antepartum Haemorrhage (2019)</w:t>
      </w:r>
    </w:p>
    <w:p w14:paraId="366AC028"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 xml:space="preserve">EH Policy 1900 – Breech Presentation Practice Guideline </w:t>
      </w:r>
    </w:p>
    <w:p w14:paraId="385A8F74"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EH Policy 2690 – Decreased Fetal Movements in Pregnancy (2018)</w:t>
      </w:r>
    </w:p>
    <w:p w14:paraId="053E3594"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EH Policy 2193 EH Policy 1020 – Diagnosis and Management of Gestational Diabetes Mellitus (2020)</w:t>
      </w:r>
    </w:p>
    <w:p w14:paraId="3E9A197A"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EH Policy 2199 - Eastern Health Expected Pathways of Care for Pregnant Women Guidelines for Consultation and Collaborative Maternity Care Planning (2019)</w:t>
      </w:r>
    </w:p>
    <w:p w14:paraId="38D02554"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 xml:space="preserve">EH Policy 2766 – Pain and/or bleeding in the first trimester of pregnancy (2018) </w:t>
      </w:r>
    </w:p>
    <w:p w14:paraId="2434D059"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EH Policy 3290 - Small for Gestational Age (SGA) and Fetal Growth Restriction (FGR) Detection, Investigations and Management (2018)</w:t>
      </w:r>
    </w:p>
    <w:p w14:paraId="1929AF17" w14:textId="77777777" w:rsidR="00603877" w:rsidRPr="00BA1B7B" w:rsidRDefault="00603877" w:rsidP="004A22FD">
      <w:pPr>
        <w:pStyle w:val="ListParagraph"/>
        <w:numPr>
          <w:ilvl w:val="0"/>
          <w:numId w:val="32"/>
        </w:numPr>
        <w:spacing w:before="2" w:line="276" w:lineRule="auto"/>
        <w:ind w:right="182"/>
        <w:jc w:val="both"/>
        <w:rPr>
          <w:rFonts w:ascii="Arial" w:hAnsi="Arial" w:cs="Arial"/>
          <w:sz w:val="20"/>
          <w:szCs w:val="20"/>
        </w:rPr>
      </w:pPr>
      <w:r w:rsidRPr="00BA1B7B">
        <w:rPr>
          <w:rFonts w:ascii="Arial" w:hAnsi="Arial" w:cs="Arial"/>
          <w:sz w:val="20"/>
          <w:szCs w:val="20"/>
        </w:rPr>
        <w:t>Figueras F, Caradeux J, Crispi F, Eixarch E, Peguero A, Gratacos E. (2018). Diagnosis and surveillance of late- onset fetal growth restriction. American journal of obstetrics and gynecology 218(2s): S790-S802.e1.</w:t>
      </w:r>
    </w:p>
    <w:p w14:paraId="6F2EC724" w14:textId="77777777" w:rsidR="00603877" w:rsidRPr="00BA1B7B" w:rsidRDefault="00603877" w:rsidP="00603877">
      <w:pPr>
        <w:pStyle w:val="ListParagraph"/>
        <w:spacing w:before="2" w:line="276" w:lineRule="auto"/>
        <w:ind w:right="182"/>
        <w:jc w:val="both"/>
        <w:rPr>
          <w:rFonts w:ascii="Arial" w:hAnsi="Arial" w:cs="Arial"/>
          <w:sz w:val="20"/>
          <w:szCs w:val="20"/>
        </w:rPr>
      </w:pPr>
    </w:p>
    <w:p w14:paraId="709A9C59" w14:textId="77777777" w:rsidR="00603877" w:rsidRPr="00BA1B7B" w:rsidRDefault="00603877" w:rsidP="004A22FD">
      <w:pPr>
        <w:pStyle w:val="ListParagraph"/>
        <w:numPr>
          <w:ilvl w:val="0"/>
          <w:numId w:val="32"/>
        </w:numPr>
        <w:spacing w:before="2" w:line="276" w:lineRule="auto"/>
        <w:ind w:right="182"/>
        <w:jc w:val="both"/>
        <w:rPr>
          <w:rFonts w:ascii="Arial" w:hAnsi="Arial" w:cs="Arial"/>
          <w:sz w:val="20"/>
          <w:szCs w:val="20"/>
        </w:rPr>
      </w:pPr>
      <w:r w:rsidRPr="00BA1B7B">
        <w:rPr>
          <w:rFonts w:ascii="Arial" w:hAnsi="Arial" w:cs="Arial"/>
          <w:sz w:val="20"/>
          <w:szCs w:val="20"/>
        </w:rPr>
        <w:lastRenderedPageBreak/>
        <w:t xml:space="preserve">Flenady,V., Koopmans,L., Middleton,P., Froen,JF., Smith,G., Gibbons,K., Coory,M., Gordon,A., Ellwood,D., McIntyre,D., Fretts,R.and Ezzati,M. (2011). Major risk factors for stillbirth in high-income countries: a systematic review and meta-analysis. Lancet Vol377, pp.1331-1340. </w:t>
      </w:r>
    </w:p>
    <w:p w14:paraId="766CEE4D" w14:textId="77777777" w:rsidR="00603877" w:rsidRPr="00BA1B7B" w:rsidRDefault="00A97F97" w:rsidP="004A22FD">
      <w:pPr>
        <w:pStyle w:val="ListParagraph"/>
        <w:numPr>
          <w:ilvl w:val="0"/>
          <w:numId w:val="32"/>
        </w:numPr>
        <w:spacing w:before="55" w:line="276" w:lineRule="auto"/>
        <w:rPr>
          <w:rFonts w:ascii="Arial" w:hAnsi="Arial" w:cs="Arial"/>
          <w:sz w:val="20"/>
          <w:szCs w:val="20"/>
        </w:rPr>
      </w:pPr>
      <w:hyperlink r:id="rId118" w:history="1">
        <w:r w:rsidR="00603877" w:rsidRPr="00BA1B7B">
          <w:rPr>
            <w:rStyle w:val="Hyperlink"/>
            <w:rFonts w:ascii="Arial" w:hAnsi="Arial" w:cs="Arial"/>
            <w:color w:val="auto"/>
            <w:sz w:val="20"/>
            <w:szCs w:val="20"/>
          </w:rPr>
          <w:t>https://www.ncbi.nlm.nih.gov/pubmed/21496916</w:t>
        </w:r>
      </w:hyperlink>
    </w:p>
    <w:p w14:paraId="4BFEF66F" w14:textId="77777777" w:rsidR="00603877" w:rsidRPr="00BA1B7B" w:rsidRDefault="00603877" w:rsidP="00603877">
      <w:pPr>
        <w:pStyle w:val="ListParagraph"/>
        <w:spacing w:before="2" w:line="276" w:lineRule="auto"/>
        <w:ind w:right="182"/>
        <w:jc w:val="both"/>
        <w:rPr>
          <w:rFonts w:ascii="Arial" w:hAnsi="Arial" w:cs="Arial"/>
          <w:sz w:val="20"/>
          <w:szCs w:val="20"/>
        </w:rPr>
      </w:pPr>
    </w:p>
    <w:p w14:paraId="0F40E0E9" w14:textId="77777777" w:rsidR="00603877" w:rsidRPr="00BA1B7B" w:rsidRDefault="00603877" w:rsidP="004A22FD">
      <w:pPr>
        <w:pStyle w:val="ListParagraph"/>
        <w:numPr>
          <w:ilvl w:val="0"/>
          <w:numId w:val="32"/>
        </w:numPr>
        <w:spacing w:before="2" w:line="276" w:lineRule="auto"/>
        <w:ind w:right="182"/>
        <w:jc w:val="both"/>
        <w:rPr>
          <w:rFonts w:ascii="Arial" w:hAnsi="Arial" w:cs="Arial"/>
          <w:sz w:val="20"/>
          <w:szCs w:val="20"/>
        </w:rPr>
      </w:pPr>
      <w:r w:rsidRPr="00BA1B7B">
        <w:rPr>
          <w:rFonts w:ascii="Arial" w:hAnsi="Arial" w:cs="Arial"/>
          <w:sz w:val="20"/>
          <w:szCs w:val="20"/>
        </w:rPr>
        <w:t>Gaccioli, F., Lager, S., Sovio, U., Charnock-Jones, D. and Smith, G. (2017). The pregnancy outcome prediction (POP) study: Investigating the relationship between serial prenatal ultrasonography, biomarkers, placental phenotype and adverse pregnancy outcomes. Placenta, 59, pp.S17-S25.</w:t>
      </w:r>
    </w:p>
    <w:p w14:paraId="4701034A" w14:textId="77777777" w:rsidR="00603877" w:rsidRPr="00BA1B7B" w:rsidRDefault="00603877" w:rsidP="00603877">
      <w:pPr>
        <w:pStyle w:val="ListParagraph"/>
        <w:spacing w:before="2" w:line="276" w:lineRule="auto"/>
        <w:ind w:right="182"/>
        <w:jc w:val="both"/>
        <w:rPr>
          <w:rFonts w:ascii="Arial" w:hAnsi="Arial" w:cs="Arial"/>
          <w:sz w:val="20"/>
          <w:szCs w:val="20"/>
        </w:rPr>
      </w:pPr>
    </w:p>
    <w:p w14:paraId="0CE81403" w14:textId="77777777" w:rsidR="00603877" w:rsidRPr="00BA1B7B" w:rsidRDefault="00603877" w:rsidP="004A22FD">
      <w:pPr>
        <w:pStyle w:val="ListParagraph"/>
        <w:numPr>
          <w:ilvl w:val="0"/>
          <w:numId w:val="32"/>
        </w:numPr>
        <w:spacing w:before="2" w:line="276" w:lineRule="auto"/>
        <w:ind w:right="182"/>
        <w:jc w:val="both"/>
        <w:rPr>
          <w:rFonts w:ascii="Arial" w:hAnsi="Arial" w:cs="Arial"/>
          <w:sz w:val="20"/>
          <w:szCs w:val="20"/>
        </w:rPr>
      </w:pPr>
      <w:r w:rsidRPr="00BA1B7B">
        <w:rPr>
          <w:rFonts w:ascii="Arial" w:hAnsi="Arial" w:cs="Arial"/>
          <w:sz w:val="20"/>
          <w:szCs w:val="20"/>
        </w:rPr>
        <w:t xml:space="preserve">Gardener G, Daly L, Bowring V, Burton G, Chadha Y,  Ellwood D, Frøen F, Gordon A, Heazell A, MacDonald S, Mahomed K, Norman JE, Oats J, Flenady V. Clinical practice guideline for the care of women with decreased fetal movements. Centre of Research Excellence in Stillbirth. Brisbane, Australia, August 2017. [online] Available at: </w:t>
      </w:r>
      <w:hyperlink r:id="rId119" w:history="1">
        <w:r w:rsidRPr="00BA1B7B">
          <w:rPr>
            <w:rStyle w:val="Hyperlink"/>
            <w:rFonts w:ascii="Arial" w:hAnsi="Arial" w:cs="Arial"/>
            <w:color w:val="auto"/>
            <w:sz w:val="20"/>
            <w:szCs w:val="20"/>
          </w:rPr>
          <w:t>https://www.stillbirthcre.org.au/assets/Uploads/DFM-Clinical-Practice-Guideline-10- August-2017.pdf</w:t>
        </w:r>
      </w:hyperlink>
    </w:p>
    <w:p w14:paraId="3E5480AB" w14:textId="77777777" w:rsidR="00603877" w:rsidRPr="00BA1B7B" w:rsidRDefault="00603877" w:rsidP="00603877">
      <w:pPr>
        <w:pStyle w:val="ListParagraph"/>
        <w:spacing w:before="2" w:line="276" w:lineRule="auto"/>
        <w:ind w:right="182"/>
        <w:jc w:val="both"/>
        <w:rPr>
          <w:rFonts w:ascii="Arial" w:hAnsi="Arial" w:cs="Arial"/>
          <w:sz w:val="20"/>
          <w:szCs w:val="20"/>
        </w:rPr>
      </w:pPr>
    </w:p>
    <w:p w14:paraId="4AD90832" w14:textId="77777777" w:rsidR="00603877" w:rsidRPr="00BA1B7B" w:rsidRDefault="00603877" w:rsidP="004A22FD">
      <w:pPr>
        <w:pStyle w:val="ListParagraph"/>
        <w:numPr>
          <w:ilvl w:val="0"/>
          <w:numId w:val="32"/>
        </w:numPr>
        <w:spacing w:before="2" w:line="276" w:lineRule="auto"/>
        <w:ind w:right="182"/>
        <w:jc w:val="both"/>
        <w:rPr>
          <w:rFonts w:ascii="Arial" w:hAnsi="Arial" w:cs="Arial"/>
          <w:sz w:val="20"/>
          <w:szCs w:val="20"/>
        </w:rPr>
      </w:pPr>
      <w:r w:rsidRPr="00BA1B7B">
        <w:rPr>
          <w:rFonts w:ascii="Arial" w:hAnsi="Arial" w:cs="Arial"/>
          <w:sz w:val="20"/>
          <w:szCs w:val="20"/>
        </w:rPr>
        <w:t>Gardener G, Weller M, McDonald S, Wallace E, East C, Oats J, Ellwood D, Kent A, Gordon A, Homer C, Middleton P, Sethna F, Sinclair L, Foord C, Andrews, C, Oro L, Firth T, Flenady V., (2018). Position Statement: Detection and Mangement of Fetal Growth Restriction in Singleton Pregnancies. Perinatal Society of Australia and New Zealand/Stillbirth Centre of Research Excellence, 2018.</w:t>
      </w:r>
    </w:p>
    <w:p w14:paraId="031C4B79" w14:textId="77777777" w:rsidR="00603877" w:rsidRPr="00BA1B7B" w:rsidRDefault="00603877" w:rsidP="00603877">
      <w:pPr>
        <w:pStyle w:val="ListParagraph"/>
        <w:spacing w:before="2" w:line="276" w:lineRule="auto"/>
        <w:ind w:right="182"/>
        <w:jc w:val="both"/>
        <w:rPr>
          <w:rFonts w:ascii="Arial" w:hAnsi="Arial" w:cs="Arial"/>
          <w:sz w:val="20"/>
          <w:szCs w:val="20"/>
        </w:rPr>
      </w:pPr>
    </w:p>
    <w:p w14:paraId="3D2A49B9" w14:textId="77777777" w:rsidR="00603877" w:rsidRPr="00BA1B7B" w:rsidRDefault="00603877" w:rsidP="004A22FD">
      <w:pPr>
        <w:pStyle w:val="ListParagraph"/>
        <w:numPr>
          <w:ilvl w:val="0"/>
          <w:numId w:val="32"/>
        </w:numPr>
        <w:spacing w:before="2" w:line="276" w:lineRule="auto"/>
        <w:ind w:right="182"/>
        <w:jc w:val="both"/>
        <w:rPr>
          <w:rFonts w:ascii="Arial" w:hAnsi="Arial" w:cs="Arial"/>
          <w:sz w:val="20"/>
          <w:szCs w:val="20"/>
        </w:rPr>
      </w:pPr>
      <w:r w:rsidRPr="00BA1B7B">
        <w:rPr>
          <w:rFonts w:ascii="Arial" w:hAnsi="Arial" w:cs="Arial"/>
          <w:sz w:val="20"/>
          <w:szCs w:val="20"/>
        </w:rPr>
        <w:t>Gardosi, J. and Francis, A. (2018). Customised Centile Calculator. Gestation Network. http://www.gestation. net/efw/efw.aspx</w:t>
      </w:r>
    </w:p>
    <w:p w14:paraId="1A5B0624" w14:textId="77777777" w:rsidR="00603877" w:rsidRPr="00BA1B7B" w:rsidRDefault="00603877" w:rsidP="00603877">
      <w:pPr>
        <w:pStyle w:val="ListParagraph"/>
        <w:spacing w:before="2" w:line="276" w:lineRule="auto"/>
        <w:ind w:right="182"/>
        <w:jc w:val="both"/>
        <w:rPr>
          <w:rFonts w:ascii="Arial" w:hAnsi="Arial" w:cs="Arial"/>
          <w:sz w:val="20"/>
          <w:szCs w:val="20"/>
        </w:rPr>
      </w:pPr>
    </w:p>
    <w:p w14:paraId="310754F1" w14:textId="77777777" w:rsidR="00603877" w:rsidRPr="00BA1B7B" w:rsidRDefault="00603877" w:rsidP="004A22FD">
      <w:pPr>
        <w:pStyle w:val="ListParagraph"/>
        <w:numPr>
          <w:ilvl w:val="0"/>
          <w:numId w:val="32"/>
        </w:numPr>
        <w:spacing w:before="2" w:line="276" w:lineRule="auto"/>
        <w:ind w:right="182"/>
        <w:jc w:val="both"/>
        <w:rPr>
          <w:rFonts w:ascii="Arial" w:hAnsi="Arial" w:cs="Arial"/>
          <w:sz w:val="20"/>
          <w:szCs w:val="20"/>
        </w:rPr>
      </w:pPr>
      <w:r w:rsidRPr="00BA1B7B">
        <w:rPr>
          <w:rFonts w:ascii="Arial" w:hAnsi="Arial" w:cs="Arial"/>
          <w:sz w:val="20"/>
          <w:szCs w:val="20"/>
        </w:rPr>
        <w:t xml:space="preserve">Gardosi, J., Francis, A., Turner, S. and Williams, M. (2018). Customized growth charts: rationale, validation and clinical benefits. American Journal of Obstetrics and Gynecology, [online] 218(2), pp.S609-S618. Available at: </w:t>
      </w:r>
      <w:hyperlink r:id="rId120" w:history="1">
        <w:r w:rsidRPr="00BA1B7B">
          <w:rPr>
            <w:rStyle w:val="Hyperlink"/>
            <w:rFonts w:ascii="Arial" w:hAnsi="Arial" w:cs="Arial"/>
            <w:color w:val="auto"/>
            <w:sz w:val="20"/>
            <w:szCs w:val="20"/>
          </w:rPr>
          <w:t>https://www.ajog.org/article/S0002-9378(17)32486-9/pdf</w:t>
        </w:r>
      </w:hyperlink>
      <w:r w:rsidRPr="00BA1B7B">
        <w:rPr>
          <w:rFonts w:ascii="Arial" w:hAnsi="Arial" w:cs="Arial"/>
          <w:sz w:val="20"/>
          <w:szCs w:val="20"/>
        </w:rPr>
        <w:t>.</w:t>
      </w:r>
    </w:p>
    <w:p w14:paraId="01526E6E" w14:textId="77777777" w:rsidR="00603877" w:rsidRPr="00BA1B7B" w:rsidRDefault="00603877" w:rsidP="00603877">
      <w:pPr>
        <w:pStyle w:val="ListParagraph"/>
        <w:spacing w:before="2" w:line="276" w:lineRule="auto"/>
        <w:ind w:right="182"/>
        <w:jc w:val="both"/>
        <w:rPr>
          <w:rFonts w:ascii="Arial" w:hAnsi="Arial" w:cs="Arial"/>
          <w:sz w:val="20"/>
          <w:szCs w:val="20"/>
        </w:rPr>
      </w:pPr>
    </w:p>
    <w:p w14:paraId="42B6B34E" w14:textId="7DA23467" w:rsidR="00603877" w:rsidRPr="00BA1B7B" w:rsidRDefault="00603877" w:rsidP="00BA1B7B">
      <w:pPr>
        <w:pStyle w:val="ListParagraph"/>
        <w:numPr>
          <w:ilvl w:val="0"/>
          <w:numId w:val="32"/>
        </w:numPr>
        <w:spacing w:before="2" w:line="276" w:lineRule="auto"/>
        <w:ind w:right="182"/>
        <w:jc w:val="both"/>
        <w:rPr>
          <w:rFonts w:ascii="Arial" w:hAnsi="Arial" w:cs="Arial"/>
          <w:sz w:val="20"/>
          <w:szCs w:val="20"/>
        </w:rPr>
      </w:pPr>
      <w:r w:rsidRPr="00BA1B7B">
        <w:rPr>
          <w:rFonts w:ascii="Arial" w:hAnsi="Arial" w:cs="Arial"/>
          <w:sz w:val="20"/>
          <w:szCs w:val="20"/>
        </w:rPr>
        <w:t>Gardosi, J., Giddings, S., Clifford, S., Wood, L., Francis. A. (2013). “Association between reduced stillbirth rates in England and regional uptake of accreditation training in customised fetal gro</w:t>
      </w:r>
      <w:r w:rsidR="00BA1B7B" w:rsidRPr="00BA1B7B">
        <w:rPr>
          <w:rFonts w:ascii="Arial" w:hAnsi="Arial" w:cs="Arial"/>
          <w:sz w:val="20"/>
          <w:szCs w:val="20"/>
        </w:rPr>
        <w:t>wth assessment.” BMJ Open 3(12)</w:t>
      </w:r>
    </w:p>
    <w:p w14:paraId="52C13E91" w14:textId="3A85BFE6" w:rsidR="00BA1B7B" w:rsidRPr="00BA1B7B" w:rsidRDefault="00BA1B7B" w:rsidP="00BA1B7B">
      <w:pPr>
        <w:spacing w:before="2" w:line="276" w:lineRule="auto"/>
        <w:ind w:right="182"/>
        <w:jc w:val="both"/>
        <w:rPr>
          <w:rFonts w:ascii="Arial" w:hAnsi="Arial" w:cs="Arial"/>
          <w:sz w:val="20"/>
          <w:szCs w:val="20"/>
        </w:rPr>
      </w:pPr>
    </w:p>
    <w:p w14:paraId="76099CF0" w14:textId="77777777" w:rsidR="00603877" w:rsidRPr="00BA1B7B" w:rsidRDefault="00603877" w:rsidP="004A22FD">
      <w:pPr>
        <w:pStyle w:val="ListParagraph"/>
        <w:numPr>
          <w:ilvl w:val="0"/>
          <w:numId w:val="32"/>
        </w:numPr>
        <w:spacing w:before="2" w:line="276" w:lineRule="auto"/>
        <w:ind w:right="182"/>
        <w:jc w:val="both"/>
        <w:rPr>
          <w:rFonts w:ascii="Arial" w:hAnsi="Arial" w:cs="Arial"/>
          <w:sz w:val="20"/>
          <w:szCs w:val="20"/>
        </w:rPr>
      </w:pPr>
      <w:r w:rsidRPr="00BA1B7B">
        <w:rPr>
          <w:rFonts w:ascii="Arial" w:hAnsi="Arial" w:cs="Arial"/>
          <w:sz w:val="20"/>
          <w:szCs w:val="20"/>
        </w:rPr>
        <w:t xml:space="preserve">Gordijn, S., Beune, I., Thilaganathan, B., Papageorghiou, A., Baschat, A., Baker, P., Silver, R., Wynia, K. and Ganzevoort, W. (2016). Consensus definition of fetal growth restriction: a Delphi procedure. Ultrasound in Obstetrics &amp; Gynecology, 48(3), pp.333-339. </w:t>
      </w:r>
    </w:p>
    <w:p w14:paraId="69D688B7" w14:textId="77777777" w:rsidR="00603877" w:rsidRPr="00BA1B7B" w:rsidRDefault="00603877" w:rsidP="004A22FD">
      <w:pPr>
        <w:pStyle w:val="ListParagraph"/>
        <w:numPr>
          <w:ilvl w:val="0"/>
          <w:numId w:val="32"/>
        </w:numPr>
        <w:tabs>
          <w:tab w:val="left" w:pos="1324"/>
        </w:tabs>
        <w:spacing w:before="117" w:line="276" w:lineRule="auto"/>
        <w:ind w:right="1598"/>
        <w:rPr>
          <w:rFonts w:ascii="Arial" w:hAnsi="Arial" w:cs="Arial"/>
          <w:sz w:val="20"/>
          <w:szCs w:val="20"/>
        </w:rPr>
      </w:pPr>
      <w:r w:rsidRPr="00BA1B7B">
        <w:rPr>
          <w:rFonts w:ascii="Arial" w:hAnsi="Arial" w:cs="Arial"/>
          <w:sz w:val="20"/>
          <w:szCs w:val="20"/>
        </w:rPr>
        <w:t>Intergrowth21.tghn.org.</w:t>
      </w:r>
      <w:r w:rsidRPr="00BA1B7B">
        <w:rPr>
          <w:rFonts w:ascii="Arial" w:hAnsi="Arial" w:cs="Arial"/>
          <w:spacing w:val="-10"/>
          <w:sz w:val="20"/>
          <w:szCs w:val="20"/>
        </w:rPr>
        <w:t xml:space="preserve"> </w:t>
      </w:r>
      <w:r w:rsidRPr="00BA1B7B">
        <w:rPr>
          <w:rFonts w:ascii="Arial" w:hAnsi="Arial" w:cs="Arial"/>
          <w:sz w:val="20"/>
          <w:szCs w:val="20"/>
        </w:rPr>
        <w:t>(2018).</w:t>
      </w:r>
      <w:r w:rsidRPr="00BA1B7B">
        <w:rPr>
          <w:rFonts w:ascii="Arial" w:hAnsi="Arial" w:cs="Arial"/>
          <w:spacing w:val="-10"/>
          <w:sz w:val="20"/>
          <w:szCs w:val="20"/>
        </w:rPr>
        <w:t xml:space="preserve"> </w:t>
      </w:r>
      <w:r w:rsidRPr="00BA1B7B">
        <w:rPr>
          <w:rFonts w:ascii="Arial" w:hAnsi="Arial" w:cs="Arial"/>
          <w:i/>
          <w:sz w:val="20"/>
          <w:szCs w:val="20"/>
        </w:rPr>
        <w:t>Symphysis-Fundal</w:t>
      </w:r>
      <w:r w:rsidRPr="00BA1B7B">
        <w:rPr>
          <w:rFonts w:ascii="Arial" w:hAnsi="Arial" w:cs="Arial"/>
          <w:i/>
          <w:spacing w:val="-9"/>
          <w:sz w:val="20"/>
          <w:szCs w:val="20"/>
        </w:rPr>
        <w:t xml:space="preserve"> </w:t>
      </w:r>
      <w:r w:rsidRPr="00BA1B7B">
        <w:rPr>
          <w:rFonts w:ascii="Arial" w:hAnsi="Arial" w:cs="Arial"/>
          <w:i/>
          <w:sz w:val="20"/>
          <w:szCs w:val="20"/>
        </w:rPr>
        <w:t>Height</w:t>
      </w:r>
      <w:r w:rsidRPr="00BA1B7B">
        <w:rPr>
          <w:rFonts w:ascii="Arial" w:hAnsi="Arial" w:cs="Arial"/>
          <w:i/>
          <w:spacing w:val="-10"/>
          <w:sz w:val="20"/>
          <w:szCs w:val="20"/>
        </w:rPr>
        <w:t xml:space="preserve"> </w:t>
      </w:r>
      <w:r w:rsidRPr="00BA1B7B">
        <w:rPr>
          <w:rFonts w:ascii="Arial" w:hAnsi="Arial" w:cs="Arial"/>
          <w:i/>
          <w:sz w:val="20"/>
          <w:szCs w:val="20"/>
        </w:rPr>
        <w:t>-</w:t>
      </w:r>
      <w:r w:rsidRPr="00BA1B7B">
        <w:rPr>
          <w:rFonts w:ascii="Arial" w:hAnsi="Arial" w:cs="Arial"/>
          <w:i/>
          <w:spacing w:val="-10"/>
          <w:sz w:val="20"/>
          <w:szCs w:val="20"/>
        </w:rPr>
        <w:t xml:space="preserve"> </w:t>
      </w:r>
      <w:r w:rsidRPr="00BA1B7B">
        <w:rPr>
          <w:rFonts w:ascii="Arial" w:hAnsi="Arial" w:cs="Arial"/>
          <w:i/>
          <w:sz w:val="20"/>
          <w:szCs w:val="20"/>
        </w:rPr>
        <w:t>INTERGROWTH-21ˢᵗ</w:t>
      </w:r>
      <w:r w:rsidRPr="00BA1B7B">
        <w:rPr>
          <w:rFonts w:ascii="Arial" w:hAnsi="Arial" w:cs="Arial"/>
          <w:sz w:val="20"/>
          <w:szCs w:val="20"/>
        </w:rPr>
        <w:t>.</w:t>
      </w:r>
      <w:r w:rsidRPr="00BA1B7B">
        <w:rPr>
          <w:rFonts w:ascii="Arial" w:hAnsi="Arial" w:cs="Arial"/>
          <w:spacing w:val="-9"/>
          <w:sz w:val="20"/>
          <w:szCs w:val="20"/>
        </w:rPr>
        <w:t xml:space="preserve"> </w:t>
      </w:r>
      <w:r w:rsidRPr="00BA1B7B">
        <w:rPr>
          <w:rFonts w:ascii="Arial" w:hAnsi="Arial" w:cs="Arial"/>
          <w:sz w:val="20"/>
          <w:szCs w:val="20"/>
        </w:rPr>
        <w:t>[online]</w:t>
      </w:r>
      <w:r w:rsidRPr="00BA1B7B">
        <w:rPr>
          <w:rFonts w:ascii="Arial" w:hAnsi="Arial" w:cs="Arial"/>
          <w:spacing w:val="-10"/>
          <w:sz w:val="20"/>
          <w:szCs w:val="20"/>
        </w:rPr>
        <w:t xml:space="preserve"> </w:t>
      </w:r>
      <w:r w:rsidRPr="00BA1B7B">
        <w:rPr>
          <w:rFonts w:ascii="Arial" w:hAnsi="Arial" w:cs="Arial"/>
          <w:sz w:val="20"/>
          <w:szCs w:val="20"/>
        </w:rPr>
        <w:t>Available</w:t>
      </w:r>
      <w:r w:rsidRPr="00BA1B7B">
        <w:rPr>
          <w:rFonts w:ascii="Arial" w:hAnsi="Arial" w:cs="Arial"/>
          <w:spacing w:val="-10"/>
          <w:sz w:val="20"/>
          <w:szCs w:val="20"/>
        </w:rPr>
        <w:t xml:space="preserve"> </w:t>
      </w:r>
      <w:r w:rsidRPr="00BA1B7B">
        <w:rPr>
          <w:rFonts w:ascii="Arial" w:hAnsi="Arial" w:cs="Arial"/>
          <w:sz w:val="20"/>
          <w:szCs w:val="20"/>
        </w:rPr>
        <w:t>at:</w:t>
      </w:r>
      <w:hyperlink r:id="rId121" w:anchor="sfh1" w:history="1">
        <w:r w:rsidRPr="00BA1B7B">
          <w:rPr>
            <w:rStyle w:val="Hyperlink"/>
            <w:rFonts w:ascii="Arial" w:hAnsi="Arial" w:cs="Arial"/>
            <w:color w:val="auto"/>
            <w:sz w:val="20"/>
            <w:szCs w:val="20"/>
          </w:rPr>
          <w:t xml:space="preserve"> https://intergrowth21.tghn.org/symphysis-fundal-height/#sfh1 </w:t>
        </w:r>
      </w:hyperlink>
    </w:p>
    <w:p w14:paraId="67AF492F" w14:textId="6522579B" w:rsidR="00603877" w:rsidRPr="00BA1B7B" w:rsidRDefault="00603877" w:rsidP="00603877">
      <w:pPr>
        <w:pStyle w:val="ListParagraph"/>
        <w:spacing w:line="276" w:lineRule="auto"/>
        <w:rPr>
          <w:rFonts w:ascii="Arial" w:hAnsi="Arial" w:cs="Arial"/>
          <w:sz w:val="20"/>
          <w:szCs w:val="20"/>
        </w:rPr>
      </w:pPr>
    </w:p>
    <w:p w14:paraId="4A976E42"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 xml:space="preserve">Lausman, A., McCarthy, F., Walker, M. and Kingdom, J. (2012). Screening, Diagnosis, and Management of Intrauterine Growth Restriction. </w:t>
      </w:r>
      <w:r w:rsidRPr="00BA1B7B">
        <w:rPr>
          <w:rFonts w:ascii="Arial" w:hAnsi="Arial" w:cs="Arial"/>
          <w:i/>
          <w:sz w:val="20"/>
          <w:szCs w:val="20"/>
        </w:rPr>
        <w:t xml:space="preserve">Journal of Obstetrics and Gynaecology </w:t>
      </w:r>
      <w:r w:rsidRPr="00BA1B7B">
        <w:rPr>
          <w:rFonts w:ascii="Arial" w:hAnsi="Arial" w:cs="Arial"/>
          <w:i/>
          <w:sz w:val="20"/>
          <w:szCs w:val="20"/>
        </w:rPr>
        <w:lastRenderedPageBreak/>
        <w:t>Canada</w:t>
      </w:r>
      <w:r w:rsidRPr="00BA1B7B">
        <w:rPr>
          <w:rFonts w:ascii="Arial" w:hAnsi="Arial" w:cs="Arial"/>
          <w:sz w:val="20"/>
          <w:szCs w:val="20"/>
        </w:rPr>
        <w:t xml:space="preserve">, [online] 34(1), pp.17-28. Available at: </w:t>
      </w:r>
      <w:hyperlink r:id="rId122" w:history="1">
        <w:r w:rsidRPr="00BA1B7B">
          <w:rPr>
            <w:rStyle w:val="Hyperlink"/>
            <w:rFonts w:ascii="Arial" w:hAnsi="Arial" w:cs="Arial"/>
            <w:color w:val="auto"/>
            <w:sz w:val="20"/>
            <w:szCs w:val="20"/>
          </w:rPr>
          <w:t>https://www.ncbi.nlm.nih.gov/pubmed/22260759</w:t>
        </w:r>
      </w:hyperlink>
    </w:p>
    <w:p w14:paraId="2E6DC02E" w14:textId="77777777" w:rsidR="00603877" w:rsidRPr="00BA1B7B" w:rsidRDefault="00603877" w:rsidP="00603877">
      <w:pPr>
        <w:pStyle w:val="ListParagraph"/>
        <w:spacing w:before="2" w:line="276" w:lineRule="auto"/>
        <w:ind w:right="228"/>
        <w:rPr>
          <w:rFonts w:ascii="Arial" w:hAnsi="Arial" w:cs="Arial"/>
          <w:sz w:val="20"/>
          <w:szCs w:val="20"/>
        </w:rPr>
      </w:pPr>
    </w:p>
    <w:p w14:paraId="190948EF" w14:textId="791C3B6A" w:rsidR="00603877" w:rsidRPr="00BA1B7B" w:rsidRDefault="00603877" w:rsidP="004A22FD">
      <w:pPr>
        <w:pStyle w:val="ListParagraph"/>
        <w:numPr>
          <w:ilvl w:val="0"/>
          <w:numId w:val="32"/>
        </w:numPr>
        <w:spacing w:before="2" w:line="276" w:lineRule="auto"/>
        <w:ind w:right="228"/>
        <w:rPr>
          <w:rStyle w:val="Hyperlink"/>
          <w:rFonts w:ascii="Arial" w:hAnsi="Arial" w:cs="Arial"/>
          <w:color w:val="auto"/>
          <w:sz w:val="20"/>
          <w:szCs w:val="20"/>
        </w:rPr>
      </w:pPr>
      <w:r w:rsidRPr="00BA1B7B">
        <w:rPr>
          <w:rFonts w:ascii="Arial" w:hAnsi="Arial" w:cs="Arial"/>
          <w:sz w:val="20"/>
          <w:szCs w:val="20"/>
        </w:rPr>
        <w:t xml:space="preserve">McCowan, L., Figueras, F. and Anderson, N. (2018). Evidence-based national guidelines for the management of suspected fetal growth restriction: comparison, consensus, and controversy. American Journal of Obstetrics and Gynecology, 218(2), pp.S855-S868. </w:t>
      </w:r>
      <w:hyperlink r:id="rId123" w:history="1">
        <w:r w:rsidRPr="00BA1B7B">
          <w:rPr>
            <w:rStyle w:val="Hyperlink"/>
            <w:rFonts w:ascii="Arial" w:hAnsi="Arial" w:cs="Arial"/>
            <w:color w:val="auto"/>
            <w:sz w:val="20"/>
            <w:szCs w:val="20"/>
          </w:rPr>
          <w:t>https://www.ajog.org/article/S0002-9378(17)32478-X/pdf?code=ymob-site</w:t>
        </w:r>
      </w:hyperlink>
    </w:p>
    <w:p w14:paraId="4B2053BC" w14:textId="77777777" w:rsidR="001D2555" w:rsidRPr="00BA1B7B" w:rsidRDefault="001D2555" w:rsidP="001D2555">
      <w:pPr>
        <w:pStyle w:val="ListParagraph"/>
        <w:spacing w:before="2" w:line="276" w:lineRule="auto"/>
        <w:ind w:right="228"/>
        <w:rPr>
          <w:rFonts w:ascii="Arial" w:hAnsi="Arial" w:cs="Arial"/>
          <w:sz w:val="20"/>
          <w:szCs w:val="20"/>
          <w:u w:val="single"/>
        </w:rPr>
      </w:pPr>
    </w:p>
    <w:p w14:paraId="143FB824" w14:textId="77777777" w:rsidR="00603877" w:rsidRPr="00BA1B7B" w:rsidRDefault="00603877" w:rsidP="004A22FD">
      <w:pPr>
        <w:pStyle w:val="ListParagraph"/>
        <w:numPr>
          <w:ilvl w:val="0"/>
          <w:numId w:val="32"/>
        </w:numPr>
        <w:tabs>
          <w:tab w:val="left" w:pos="1324"/>
        </w:tabs>
        <w:spacing w:before="111" w:line="276" w:lineRule="auto"/>
        <w:rPr>
          <w:rFonts w:ascii="Arial" w:hAnsi="Arial" w:cs="Arial"/>
          <w:sz w:val="20"/>
          <w:szCs w:val="20"/>
        </w:rPr>
      </w:pPr>
      <w:r w:rsidRPr="00BA1B7B">
        <w:rPr>
          <w:rFonts w:ascii="Arial" w:hAnsi="Arial" w:cs="Arial"/>
          <w:sz w:val="20"/>
          <w:szCs w:val="20"/>
        </w:rPr>
        <w:t>National Institute for Healthcare Excellence (NICE) (2018) Available at :</w:t>
      </w:r>
      <w:r w:rsidRPr="00BA1B7B">
        <w:rPr>
          <w:rFonts w:ascii="Arial" w:hAnsi="Arial" w:cs="Arial"/>
          <w:spacing w:val="-27"/>
          <w:sz w:val="20"/>
          <w:szCs w:val="20"/>
        </w:rPr>
        <w:t xml:space="preserve"> </w:t>
      </w:r>
      <w:hyperlink r:id="rId124" w:history="1">
        <w:r w:rsidRPr="00BA1B7B">
          <w:rPr>
            <w:rStyle w:val="Hyperlink"/>
            <w:rFonts w:ascii="Arial" w:hAnsi="Arial" w:cs="Arial"/>
            <w:color w:val="auto"/>
            <w:sz w:val="20"/>
            <w:szCs w:val="20"/>
          </w:rPr>
          <w:t>https://www.nice.org.uk/</w:t>
        </w:r>
      </w:hyperlink>
    </w:p>
    <w:p w14:paraId="6B880335" w14:textId="77777777" w:rsidR="00603877" w:rsidRPr="00BA1B7B" w:rsidRDefault="00603877" w:rsidP="00603877">
      <w:pPr>
        <w:pStyle w:val="ListParagraph"/>
        <w:spacing w:before="2" w:line="276" w:lineRule="auto"/>
        <w:rPr>
          <w:rFonts w:ascii="Arial" w:hAnsi="Arial" w:cs="Arial"/>
          <w:sz w:val="20"/>
          <w:szCs w:val="20"/>
        </w:rPr>
      </w:pPr>
    </w:p>
    <w:p w14:paraId="5BF0090E" w14:textId="77777777" w:rsidR="00603877" w:rsidRPr="00BA1B7B" w:rsidRDefault="00603877" w:rsidP="004A22FD">
      <w:pPr>
        <w:pStyle w:val="ListParagraph"/>
        <w:numPr>
          <w:ilvl w:val="0"/>
          <w:numId w:val="32"/>
        </w:numPr>
        <w:spacing w:before="2" w:line="276" w:lineRule="auto"/>
        <w:ind w:right="68"/>
        <w:rPr>
          <w:rFonts w:ascii="Arial" w:hAnsi="Arial" w:cs="Arial"/>
          <w:sz w:val="20"/>
          <w:szCs w:val="20"/>
        </w:rPr>
      </w:pPr>
      <w:r w:rsidRPr="00BA1B7B">
        <w:rPr>
          <w:rFonts w:ascii="Arial" w:hAnsi="Arial" w:cs="Arial"/>
          <w:sz w:val="20"/>
          <w:szCs w:val="20"/>
        </w:rPr>
        <w:t>New Zealand Maternal Fetal Medicine Network (2014). Guideline for the mangment of suspected small for gestational age singleton pregnancies and infants after 34 weeks’ gestation. [online] New Zealand Maternal Fetal Medicine Network. Available at:</w:t>
      </w:r>
    </w:p>
    <w:p w14:paraId="22984138" w14:textId="77777777" w:rsidR="00603877" w:rsidRPr="00BA1B7B" w:rsidRDefault="00A97F97" w:rsidP="004A22FD">
      <w:pPr>
        <w:pStyle w:val="ListParagraph"/>
        <w:numPr>
          <w:ilvl w:val="0"/>
          <w:numId w:val="32"/>
        </w:numPr>
        <w:spacing w:before="59" w:line="276" w:lineRule="auto"/>
        <w:ind w:right="1298"/>
        <w:rPr>
          <w:rFonts w:ascii="Arial" w:hAnsi="Arial" w:cs="Arial"/>
          <w:sz w:val="20"/>
          <w:szCs w:val="20"/>
        </w:rPr>
      </w:pPr>
      <w:hyperlink r:id="rId125" w:history="1">
        <w:r w:rsidR="00603877" w:rsidRPr="00BA1B7B">
          <w:rPr>
            <w:rStyle w:val="Hyperlink"/>
            <w:rFonts w:ascii="Arial" w:hAnsi="Arial" w:cs="Arial"/>
            <w:color w:val="auto"/>
            <w:sz w:val="20"/>
            <w:szCs w:val="20"/>
          </w:rPr>
          <w:t>http://www.asum.com.au/wp-content/uploads/2015/09/NZMFM-SGA-Guideline-</w:t>
        </w:r>
      </w:hyperlink>
      <w:r w:rsidR="00603877" w:rsidRPr="00BA1B7B">
        <w:rPr>
          <w:rFonts w:ascii="Arial" w:hAnsi="Arial" w:cs="Arial"/>
          <w:sz w:val="20"/>
          <w:szCs w:val="20"/>
        </w:rPr>
        <w:t xml:space="preserve"> </w:t>
      </w:r>
      <w:hyperlink r:id="rId126" w:history="1">
        <w:r w:rsidR="00603877" w:rsidRPr="00BA1B7B">
          <w:rPr>
            <w:rStyle w:val="Hyperlink"/>
            <w:rFonts w:ascii="Arial" w:hAnsi="Arial" w:cs="Arial"/>
            <w:color w:val="auto"/>
            <w:sz w:val="20"/>
            <w:szCs w:val="20"/>
          </w:rPr>
          <w:t>September-2013.pdf</w:t>
        </w:r>
      </w:hyperlink>
    </w:p>
    <w:p w14:paraId="460AC0BC" w14:textId="77777777" w:rsidR="00603877" w:rsidRPr="00BA1B7B" w:rsidRDefault="00603877" w:rsidP="00603877">
      <w:pPr>
        <w:pStyle w:val="ListParagraph"/>
        <w:spacing w:before="2" w:line="276" w:lineRule="auto"/>
        <w:rPr>
          <w:rFonts w:ascii="Arial" w:hAnsi="Arial" w:cs="Arial"/>
          <w:sz w:val="20"/>
          <w:szCs w:val="20"/>
        </w:rPr>
      </w:pPr>
    </w:p>
    <w:p w14:paraId="2590B966" w14:textId="77777777" w:rsidR="00603877" w:rsidRPr="00BA1B7B" w:rsidRDefault="00603877" w:rsidP="004A22FD">
      <w:pPr>
        <w:pStyle w:val="ListParagraph"/>
        <w:numPr>
          <w:ilvl w:val="0"/>
          <w:numId w:val="32"/>
        </w:numPr>
        <w:spacing w:before="2" w:line="276" w:lineRule="auto"/>
        <w:rPr>
          <w:rFonts w:ascii="Arial" w:hAnsi="Arial" w:cs="Arial"/>
          <w:sz w:val="20"/>
          <w:szCs w:val="20"/>
        </w:rPr>
      </w:pPr>
      <w:r w:rsidRPr="00BA1B7B">
        <w:rPr>
          <w:rFonts w:ascii="Arial" w:hAnsi="Arial" w:cs="Arial"/>
          <w:sz w:val="20"/>
          <w:szCs w:val="20"/>
        </w:rPr>
        <w:t>Pay ASD, Wiik J, Backe B, Jacobsson B, Strandell A, Klovning A.(2015). Symphysis-fundus height measurement to predict small-for-gestational-age status at birth: a systematic review. BMC pregnancy and childbirth; 15(1): 22. Available at: https://link.springer.com/content/pdf/10.1186%2Fs12884-015-0461-z.pdf [Accessed 27 Apr. 2018].</w:t>
      </w:r>
    </w:p>
    <w:p w14:paraId="3C25545F" w14:textId="77777777" w:rsidR="00603877" w:rsidRPr="00BA1B7B" w:rsidRDefault="00603877" w:rsidP="00603877">
      <w:pPr>
        <w:pStyle w:val="ListParagraph"/>
        <w:spacing w:before="2" w:line="276" w:lineRule="auto"/>
        <w:rPr>
          <w:rFonts w:ascii="Arial" w:hAnsi="Arial" w:cs="Arial"/>
          <w:sz w:val="20"/>
          <w:szCs w:val="20"/>
        </w:rPr>
      </w:pPr>
    </w:p>
    <w:p w14:paraId="6EF82FD0" w14:textId="0E7FC6F5" w:rsidR="00603877" w:rsidRPr="00BA1B7B" w:rsidRDefault="00603877" w:rsidP="004A22FD">
      <w:pPr>
        <w:pStyle w:val="ListParagraph"/>
        <w:numPr>
          <w:ilvl w:val="0"/>
          <w:numId w:val="32"/>
        </w:numPr>
        <w:spacing w:before="2" w:line="276" w:lineRule="auto"/>
        <w:rPr>
          <w:rFonts w:ascii="Arial" w:hAnsi="Arial" w:cs="Arial"/>
          <w:sz w:val="20"/>
          <w:szCs w:val="20"/>
        </w:rPr>
      </w:pPr>
      <w:r w:rsidRPr="00BA1B7B">
        <w:rPr>
          <w:rFonts w:ascii="Arial" w:hAnsi="Arial" w:cs="Arial"/>
          <w:sz w:val="20"/>
          <w:szCs w:val="20"/>
        </w:rPr>
        <w:t>Perinatal Institute (2015). Standardised Fundal Height Measurement. [video] Available at: http://www. perinatal.org.uk/FetalGrowth/GAP/fundal_height.aspx [Accessed 26 Feb. 2018].</w:t>
      </w:r>
    </w:p>
    <w:p w14:paraId="424F21B1" w14:textId="77777777" w:rsidR="00603877" w:rsidRPr="00BA1B7B" w:rsidRDefault="00603877" w:rsidP="00603877">
      <w:pPr>
        <w:pStyle w:val="ListParagraph"/>
        <w:spacing w:before="2" w:line="276" w:lineRule="auto"/>
        <w:rPr>
          <w:rFonts w:ascii="Arial" w:hAnsi="Arial" w:cs="Arial"/>
          <w:sz w:val="20"/>
          <w:szCs w:val="20"/>
        </w:rPr>
      </w:pPr>
    </w:p>
    <w:p w14:paraId="70CC6920" w14:textId="77777777" w:rsidR="00603877" w:rsidRPr="00BA1B7B" w:rsidRDefault="00603877" w:rsidP="004A22FD">
      <w:pPr>
        <w:pStyle w:val="ListParagraph"/>
        <w:numPr>
          <w:ilvl w:val="0"/>
          <w:numId w:val="32"/>
        </w:numPr>
        <w:spacing w:before="2" w:line="276" w:lineRule="auto"/>
        <w:ind w:right="222"/>
        <w:jc w:val="both"/>
        <w:rPr>
          <w:rFonts w:ascii="Arial" w:hAnsi="Arial" w:cs="Arial"/>
          <w:sz w:val="20"/>
          <w:szCs w:val="20"/>
        </w:rPr>
      </w:pPr>
      <w:r w:rsidRPr="00BA1B7B">
        <w:rPr>
          <w:rFonts w:ascii="Arial" w:hAnsi="Arial" w:cs="Arial"/>
          <w:spacing w:val="-3"/>
          <w:sz w:val="20"/>
          <w:szCs w:val="20"/>
        </w:rPr>
        <w:t>Royal</w:t>
      </w:r>
      <w:r w:rsidRPr="00BA1B7B">
        <w:rPr>
          <w:rFonts w:ascii="Arial" w:hAnsi="Arial" w:cs="Arial"/>
          <w:spacing w:val="-7"/>
          <w:sz w:val="20"/>
          <w:szCs w:val="20"/>
        </w:rPr>
        <w:t xml:space="preserve"> </w:t>
      </w:r>
      <w:r w:rsidRPr="00BA1B7B">
        <w:rPr>
          <w:rFonts w:ascii="Arial" w:hAnsi="Arial" w:cs="Arial"/>
          <w:sz w:val="20"/>
          <w:szCs w:val="20"/>
        </w:rPr>
        <w:t>College</w:t>
      </w:r>
      <w:r w:rsidRPr="00BA1B7B">
        <w:rPr>
          <w:rFonts w:ascii="Arial" w:hAnsi="Arial" w:cs="Arial"/>
          <w:spacing w:val="-6"/>
          <w:sz w:val="20"/>
          <w:szCs w:val="20"/>
        </w:rPr>
        <w:t xml:space="preserve"> </w:t>
      </w:r>
      <w:r w:rsidRPr="00BA1B7B">
        <w:rPr>
          <w:rFonts w:ascii="Arial" w:hAnsi="Arial" w:cs="Arial"/>
          <w:sz w:val="20"/>
          <w:szCs w:val="20"/>
        </w:rPr>
        <w:t>of</w:t>
      </w:r>
      <w:r w:rsidRPr="00BA1B7B">
        <w:rPr>
          <w:rFonts w:ascii="Arial" w:hAnsi="Arial" w:cs="Arial"/>
          <w:spacing w:val="-7"/>
          <w:sz w:val="20"/>
          <w:szCs w:val="20"/>
        </w:rPr>
        <w:t xml:space="preserve"> </w:t>
      </w:r>
      <w:r w:rsidRPr="00BA1B7B">
        <w:rPr>
          <w:rFonts w:ascii="Arial" w:hAnsi="Arial" w:cs="Arial"/>
          <w:sz w:val="20"/>
          <w:szCs w:val="20"/>
        </w:rPr>
        <w:t>Obstetricians</w:t>
      </w:r>
      <w:r w:rsidRPr="00BA1B7B">
        <w:rPr>
          <w:rFonts w:ascii="Arial" w:hAnsi="Arial" w:cs="Arial"/>
          <w:spacing w:val="-6"/>
          <w:sz w:val="20"/>
          <w:szCs w:val="20"/>
        </w:rPr>
        <w:t xml:space="preserve"> </w:t>
      </w:r>
      <w:r w:rsidRPr="00BA1B7B">
        <w:rPr>
          <w:rFonts w:ascii="Arial" w:hAnsi="Arial" w:cs="Arial"/>
          <w:sz w:val="20"/>
          <w:szCs w:val="20"/>
        </w:rPr>
        <w:t>and</w:t>
      </w:r>
      <w:r w:rsidRPr="00BA1B7B">
        <w:rPr>
          <w:rFonts w:ascii="Arial" w:hAnsi="Arial" w:cs="Arial"/>
          <w:spacing w:val="-6"/>
          <w:sz w:val="20"/>
          <w:szCs w:val="20"/>
        </w:rPr>
        <w:t xml:space="preserve"> </w:t>
      </w:r>
      <w:r w:rsidRPr="00BA1B7B">
        <w:rPr>
          <w:rFonts w:ascii="Arial" w:hAnsi="Arial" w:cs="Arial"/>
          <w:sz w:val="20"/>
          <w:szCs w:val="20"/>
        </w:rPr>
        <w:t>Gynecologists</w:t>
      </w:r>
      <w:r w:rsidRPr="00BA1B7B">
        <w:rPr>
          <w:rFonts w:ascii="Arial" w:hAnsi="Arial" w:cs="Arial"/>
          <w:spacing w:val="-6"/>
          <w:sz w:val="20"/>
          <w:szCs w:val="20"/>
        </w:rPr>
        <w:t xml:space="preserve"> </w:t>
      </w:r>
      <w:r w:rsidRPr="00BA1B7B">
        <w:rPr>
          <w:rFonts w:ascii="Arial" w:hAnsi="Arial" w:cs="Arial"/>
          <w:sz w:val="20"/>
          <w:szCs w:val="20"/>
        </w:rPr>
        <w:t>(2013).</w:t>
      </w:r>
      <w:r w:rsidRPr="00BA1B7B">
        <w:rPr>
          <w:rFonts w:ascii="Arial" w:hAnsi="Arial" w:cs="Arial"/>
          <w:spacing w:val="-7"/>
          <w:sz w:val="20"/>
          <w:szCs w:val="20"/>
        </w:rPr>
        <w:t xml:space="preserve"> </w:t>
      </w:r>
      <w:r w:rsidRPr="00BA1B7B">
        <w:rPr>
          <w:rFonts w:ascii="Arial" w:hAnsi="Arial" w:cs="Arial"/>
          <w:sz w:val="20"/>
          <w:szCs w:val="20"/>
        </w:rPr>
        <w:t>The</w:t>
      </w:r>
      <w:r w:rsidRPr="00BA1B7B">
        <w:rPr>
          <w:rFonts w:ascii="Arial" w:hAnsi="Arial" w:cs="Arial"/>
          <w:spacing w:val="-7"/>
          <w:sz w:val="20"/>
          <w:szCs w:val="20"/>
        </w:rPr>
        <w:t xml:space="preserve"> </w:t>
      </w:r>
      <w:r w:rsidRPr="00BA1B7B">
        <w:rPr>
          <w:rFonts w:ascii="Arial" w:hAnsi="Arial" w:cs="Arial"/>
          <w:sz w:val="20"/>
          <w:szCs w:val="20"/>
        </w:rPr>
        <w:t>investigation</w:t>
      </w:r>
      <w:r w:rsidRPr="00BA1B7B">
        <w:rPr>
          <w:rFonts w:ascii="Arial" w:hAnsi="Arial" w:cs="Arial"/>
          <w:spacing w:val="-6"/>
          <w:sz w:val="20"/>
          <w:szCs w:val="20"/>
        </w:rPr>
        <w:t xml:space="preserve"> </w:t>
      </w:r>
      <w:r w:rsidRPr="00BA1B7B">
        <w:rPr>
          <w:rFonts w:ascii="Arial" w:hAnsi="Arial" w:cs="Arial"/>
          <w:sz w:val="20"/>
          <w:szCs w:val="20"/>
        </w:rPr>
        <w:t>and</w:t>
      </w:r>
      <w:r w:rsidRPr="00BA1B7B">
        <w:rPr>
          <w:rFonts w:ascii="Arial" w:hAnsi="Arial" w:cs="Arial"/>
          <w:spacing w:val="-7"/>
          <w:sz w:val="20"/>
          <w:szCs w:val="20"/>
        </w:rPr>
        <w:t xml:space="preserve"> </w:t>
      </w:r>
      <w:r w:rsidRPr="00BA1B7B">
        <w:rPr>
          <w:rFonts w:ascii="Arial" w:hAnsi="Arial" w:cs="Arial"/>
          <w:sz w:val="20"/>
          <w:szCs w:val="20"/>
        </w:rPr>
        <w:t>management</w:t>
      </w:r>
      <w:r w:rsidRPr="00BA1B7B">
        <w:rPr>
          <w:rFonts w:ascii="Arial" w:hAnsi="Arial" w:cs="Arial"/>
          <w:spacing w:val="-6"/>
          <w:sz w:val="20"/>
          <w:szCs w:val="20"/>
        </w:rPr>
        <w:t xml:space="preserve"> </w:t>
      </w:r>
      <w:r w:rsidRPr="00BA1B7B">
        <w:rPr>
          <w:rFonts w:ascii="Arial" w:hAnsi="Arial" w:cs="Arial"/>
          <w:sz w:val="20"/>
          <w:szCs w:val="20"/>
        </w:rPr>
        <w:t>of the</w:t>
      </w:r>
      <w:r w:rsidRPr="00BA1B7B">
        <w:rPr>
          <w:rFonts w:ascii="Arial" w:hAnsi="Arial" w:cs="Arial"/>
          <w:spacing w:val="-9"/>
          <w:sz w:val="20"/>
          <w:szCs w:val="20"/>
        </w:rPr>
        <w:t xml:space="preserve"> </w:t>
      </w:r>
      <w:r w:rsidRPr="00BA1B7B">
        <w:rPr>
          <w:rFonts w:ascii="Arial" w:hAnsi="Arial" w:cs="Arial"/>
          <w:sz w:val="20"/>
          <w:szCs w:val="20"/>
        </w:rPr>
        <w:t>small-for-gestational-age</w:t>
      </w:r>
      <w:r w:rsidRPr="00BA1B7B">
        <w:rPr>
          <w:rFonts w:ascii="Arial" w:hAnsi="Arial" w:cs="Arial"/>
          <w:spacing w:val="-8"/>
          <w:sz w:val="20"/>
          <w:szCs w:val="20"/>
        </w:rPr>
        <w:t xml:space="preserve"> </w:t>
      </w:r>
      <w:r w:rsidRPr="00BA1B7B">
        <w:rPr>
          <w:rFonts w:ascii="Arial" w:hAnsi="Arial" w:cs="Arial"/>
          <w:sz w:val="20"/>
          <w:szCs w:val="20"/>
        </w:rPr>
        <w:t>fetus.</w:t>
      </w:r>
      <w:r w:rsidRPr="00BA1B7B">
        <w:rPr>
          <w:rFonts w:ascii="Arial" w:hAnsi="Arial" w:cs="Arial"/>
          <w:spacing w:val="-9"/>
          <w:sz w:val="20"/>
          <w:szCs w:val="20"/>
        </w:rPr>
        <w:t xml:space="preserve"> </w:t>
      </w:r>
      <w:r w:rsidRPr="00BA1B7B">
        <w:rPr>
          <w:rFonts w:ascii="Arial" w:hAnsi="Arial" w:cs="Arial"/>
          <w:sz w:val="20"/>
          <w:szCs w:val="20"/>
        </w:rPr>
        <w:t>Green-topguideline</w:t>
      </w:r>
      <w:r w:rsidRPr="00BA1B7B">
        <w:rPr>
          <w:rFonts w:ascii="Arial" w:hAnsi="Arial" w:cs="Arial"/>
          <w:spacing w:val="-9"/>
          <w:sz w:val="20"/>
          <w:szCs w:val="20"/>
        </w:rPr>
        <w:t xml:space="preserve"> </w:t>
      </w:r>
      <w:r w:rsidRPr="00BA1B7B">
        <w:rPr>
          <w:rFonts w:ascii="Arial" w:hAnsi="Arial" w:cs="Arial"/>
          <w:sz w:val="20"/>
          <w:szCs w:val="20"/>
        </w:rPr>
        <w:t>no.</w:t>
      </w:r>
      <w:r w:rsidRPr="00BA1B7B">
        <w:rPr>
          <w:rFonts w:ascii="Arial" w:hAnsi="Arial" w:cs="Arial"/>
          <w:spacing w:val="-9"/>
          <w:sz w:val="20"/>
          <w:szCs w:val="20"/>
        </w:rPr>
        <w:t xml:space="preserve"> </w:t>
      </w:r>
      <w:r w:rsidRPr="00BA1B7B">
        <w:rPr>
          <w:rFonts w:ascii="Arial" w:hAnsi="Arial" w:cs="Arial"/>
          <w:sz w:val="20"/>
          <w:szCs w:val="20"/>
        </w:rPr>
        <w:t>31.</w:t>
      </w:r>
      <w:r w:rsidRPr="00BA1B7B">
        <w:rPr>
          <w:rFonts w:ascii="Arial" w:hAnsi="Arial" w:cs="Arial"/>
          <w:spacing w:val="-8"/>
          <w:sz w:val="20"/>
          <w:szCs w:val="20"/>
        </w:rPr>
        <w:t xml:space="preserve"> </w:t>
      </w:r>
      <w:r w:rsidRPr="00BA1B7B">
        <w:rPr>
          <w:rFonts w:ascii="Arial" w:hAnsi="Arial" w:cs="Arial"/>
          <w:sz w:val="20"/>
          <w:szCs w:val="20"/>
        </w:rPr>
        <w:t>[online]</w:t>
      </w:r>
      <w:r w:rsidRPr="00BA1B7B">
        <w:rPr>
          <w:rFonts w:ascii="Arial" w:hAnsi="Arial" w:cs="Arial"/>
          <w:spacing w:val="-9"/>
          <w:sz w:val="20"/>
          <w:szCs w:val="20"/>
        </w:rPr>
        <w:t xml:space="preserve"> </w:t>
      </w:r>
      <w:r w:rsidRPr="00BA1B7B">
        <w:rPr>
          <w:rFonts w:ascii="Arial" w:hAnsi="Arial" w:cs="Arial"/>
          <w:sz w:val="20"/>
          <w:szCs w:val="20"/>
        </w:rPr>
        <w:t>(2nd</w:t>
      </w:r>
      <w:r w:rsidRPr="00BA1B7B">
        <w:rPr>
          <w:rFonts w:ascii="Arial" w:hAnsi="Arial" w:cs="Arial"/>
          <w:spacing w:val="-9"/>
          <w:sz w:val="20"/>
          <w:szCs w:val="20"/>
        </w:rPr>
        <w:t xml:space="preserve"> </w:t>
      </w:r>
      <w:r w:rsidRPr="00BA1B7B">
        <w:rPr>
          <w:rFonts w:ascii="Arial" w:hAnsi="Arial" w:cs="Arial"/>
          <w:sz w:val="20"/>
          <w:szCs w:val="20"/>
        </w:rPr>
        <w:t>Editon).</w:t>
      </w:r>
      <w:r w:rsidRPr="00BA1B7B">
        <w:rPr>
          <w:rFonts w:ascii="Arial" w:hAnsi="Arial" w:cs="Arial"/>
          <w:spacing w:val="-9"/>
          <w:sz w:val="20"/>
          <w:szCs w:val="20"/>
        </w:rPr>
        <w:t xml:space="preserve"> </w:t>
      </w:r>
      <w:r w:rsidRPr="00BA1B7B">
        <w:rPr>
          <w:rFonts w:ascii="Arial" w:hAnsi="Arial" w:cs="Arial"/>
          <w:sz w:val="20"/>
          <w:szCs w:val="20"/>
        </w:rPr>
        <w:t>Available at:</w:t>
      </w:r>
      <w:r w:rsidRPr="00BA1B7B">
        <w:rPr>
          <w:rFonts w:ascii="Arial" w:hAnsi="Arial" w:cs="Arial"/>
          <w:spacing w:val="-2"/>
          <w:sz w:val="20"/>
          <w:szCs w:val="20"/>
        </w:rPr>
        <w:t xml:space="preserve"> </w:t>
      </w:r>
      <w:hyperlink r:id="rId127" w:history="1">
        <w:r w:rsidRPr="00BA1B7B">
          <w:rPr>
            <w:rStyle w:val="Hyperlink"/>
            <w:rFonts w:ascii="Arial" w:hAnsi="Arial" w:cs="Arial"/>
            <w:color w:val="auto"/>
            <w:sz w:val="20"/>
            <w:szCs w:val="20"/>
          </w:rPr>
          <w:t>https://www.rcog.org.uk/globalassets/documents/guidelines/gtg_31.pdf</w:t>
        </w:r>
      </w:hyperlink>
    </w:p>
    <w:p w14:paraId="6CE9EB0E" w14:textId="77777777" w:rsidR="00603877" w:rsidRPr="00BA1B7B" w:rsidRDefault="00603877" w:rsidP="00603877">
      <w:pPr>
        <w:spacing w:before="2" w:line="276" w:lineRule="auto"/>
        <w:ind w:left="360" w:right="222"/>
        <w:jc w:val="both"/>
        <w:rPr>
          <w:rFonts w:ascii="Arial" w:hAnsi="Arial" w:cs="Arial"/>
          <w:sz w:val="20"/>
          <w:szCs w:val="20"/>
        </w:rPr>
      </w:pPr>
    </w:p>
    <w:p w14:paraId="64EB70CB"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 xml:space="preserve">Perinatal Society of Australia and New Zealand and Centre of Research Excellence Stillbirth. Management Pathway: detection and management of fetal growth restriction in singleton pregnancies. Centre of Research Excellence in Stillbirth. Brisbane, Australia, September 2019 </w:t>
      </w:r>
      <w:hyperlink r:id="rId128" w:history="1">
        <w:r w:rsidRPr="00BA1B7B">
          <w:rPr>
            <w:rStyle w:val="Hyperlink"/>
            <w:rFonts w:ascii="Arial" w:hAnsi="Arial" w:cs="Arial"/>
            <w:color w:val="auto"/>
            <w:sz w:val="20"/>
            <w:szCs w:val="20"/>
          </w:rPr>
          <w:t>https://resources.stillbirthcre.org.au/elearn/resources/FGR%20Management%20Pathway_V4.pdf</w:t>
        </w:r>
      </w:hyperlink>
    </w:p>
    <w:p w14:paraId="37530D90" w14:textId="77777777" w:rsidR="00603877" w:rsidRPr="00BA1B7B" w:rsidRDefault="00603877" w:rsidP="00603877">
      <w:pPr>
        <w:spacing w:line="276" w:lineRule="auto"/>
        <w:rPr>
          <w:rFonts w:ascii="Arial" w:hAnsi="Arial" w:cs="Arial"/>
          <w:sz w:val="20"/>
          <w:szCs w:val="20"/>
        </w:rPr>
      </w:pPr>
    </w:p>
    <w:p w14:paraId="4CAF786A" w14:textId="410A1D91" w:rsidR="00D64801" w:rsidRPr="00BA1B7B" w:rsidRDefault="00603877" w:rsidP="002348E0">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 xml:space="preserve">Perinatal Society of Australia and New Zealand and Centre of Research Excellence Stillbirth. Position statement: detection and management of fetal growth restriction in singleton pregnancies. Centre of Research Excellence in Stillbirth. Brisbane, Australia, September 2019: </w:t>
      </w:r>
      <w:hyperlink r:id="rId129" w:history="1">
        <w:r w:rsidRPr="00BA1B7B">
          <w:rPr>
            <w:rStyle w:val="Hyperlink"/>
            <w:rFonts w:ascii="Arial" w:hAnsi="Arial" w:cs="Arial"/>
            <w:color w:val="auto"/>
            <w:sz w:val="20"/>
            <w:szCs w:val="20"/>
          </w:rPr>
          <w:t>https://www.stillbirthcre.org.au/safer-baby-bundle/improving-detection-and-management-of-fetal-growth-restriction/</w:t>
        </w:r>
      </w:hyperlink>
    </w:p>
    <w:p w14:paraId="02AB5E3E" w14:textId="77777777" w:rsidR="00D64801" w:rsidRPr="00BA1B7B" w:rsidRDefault="00D64801" w:rsidP="00D64801">
      <w:pPr>
        <w:pStyle w:val="ListParagraph"/>
        <w:rPr>
          <w:rFonts w:ascii="Arial" w:hAnsi="Arial" w:cs="Arial"/>
          <w:sz w:val="20"/>
          <w:szCs w:val="20"/>
        </w:rPr>
      </w:pPr>
    </w:p>
    <w:p w14:paraId="034B1AF0"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lastRenderedPageBreak/>
        <w:t>Perinatal Society of Australia and New Zealand and Centre of Research Excellence Stillbirth. Management Pathway: Decreased Fetal Movement Care Pathway for women with singleton pregnancies from 28+0 weeks’ gestation. Centre of Research Excellence in Stillbirth. Brisbane, Australia, September 2019.</w:t>
      </w:r>
    </w:p>
    <w:p w14:paraId="73551552" w14:textId="77777777" w:rsidR="00603877" w:rsidRPr="00BA1B7B" w:rsidRDefault="00A97F97" w:rsidP="00603877">
      <w:pPr>
        <w:pStyle w:val="ListParagraph"/>
        <w:spacing w:line="276" w:lineRule="auto"/>
        <w:rPr>
          <w:rFonts w:ascii="Arial" w:hAnsi="Arial" w:cs="Arial"/>
          <w:sz w:val="20"/>
          <w:szCs w:val="20"/>
        </w:rPr>
      </w:pPr>
      <w:hyperlink r:id="rId130" w:history="1">
        <w:r w:rsidR="00603877" w:rsidRPr="00BA1B7B">
          <w:rPr>
            <w:rStyle w:val="Hyperlink"/>
            <w:rFonts w:ascii="Arial" w:hAnsi="Arial" w:cs="Arial"/>
            <w:color w:val="auto"/>
            <w:sz w:val="20"/>
            <w:szCs w:val="20"/>
          </w:rPr>
          <w:t>https://resources.stillbirthcre.org.au/elearn/resources/DFM%20Management%20Pathway.pdf</w:t>
        </w:r>
      </w:hyperlink>
    </w:p>
    <w:p w14:paraId="221FDB1B" w14:textId="77777777" w:rsidR="00603877" w:rsidRPr="00BA1B7B" w:rsidRDefault="00A97F97" w:rsidP="00603877">
      <w:pPr>
        <w:pStyle w:val="ListParagraph"/>
        <w:spacing w:line="276" w:lineRule="auto"/>
        <w:rPr>
          <w:rFonts w:ascii="Arial" w:hAnsi="Arial" w:cs="Arial"/>
          <w:sz w:val="20"/>
          <w:szCs w:val="20"/>
        </w:rPr>
      </w:pPr>
      <w:hyperlink r:id="rId131" w:history="1">
        <w:r w:rsidR="00603877" w:rsidRPr="00BA1B7B">
          <w:rPr>
            <w:rStyle w:val="Hyperlink"/>
            <w:rFonts w:ascii="Arial" w:hAnsi="Arial" w:cs="Arial"/>
            <w:color w:val="auto"/>
            <w:sz w:val="20"/>
            <w:szCs w:val="20"/>
          </w:rPr>
          <w:t>https://www.stillbirthcre.org.au/safer-baby-bundle/raising-awareness-and-improving-care-for-women-with-decreased-fetal-movements/</w:t>
        </w:r>
      </w:hyperlink>
    </w:p>
    <w:p w14:paraId="3B25516F" w14:textId="77777777" w:rsidR="00603877" w:rsidRPr="00BA1B7B" w:rsidRDefault="00603877" w:rsidP="00603877">
      <w:pPr>
        <w:spacing w:line="276" w:lineRule="auto"/>
        <w:rPr>
          <w:rFonts w:ascii="Arial" w:hAnsi="Arial" w:cs="Arial"/>
          <w:sz w:val="20"/>
          <w:szCs w:val="20"/>
        </w:rPr>
      </w:pPr>
    </w:p>
    <w:p w14:paraId="21B1D2C3" w14:textId="77777777" w:rsidR="00603877" w:rsidRPr="00BA1B7B" w:rsidRDefault="00603877" w:rsidP="004A22FD">
      <w:pPr>
        <w:pStyle w:val="ListParagraph"/>
        <w:numPr>
          <w:ilvl w:val="0"/>
          <w:numId w:val="32"/>
        </w:numPr>
        <w:spacing w:line="276" w:lineRule="auto"/>
        <w:rPr>
          <w:rFonts w:ascii="Arial" w:hAnsi="Arial" w:cs="Arial"/>
          <w:sz w:val="20"/>
          <w:szCs w:val="20"/>
        </w:rPr>
      </w:pPr>
      <w:r w:rsidRPr="00BA1B7B">
        <w:rPr>
          <w:rFonts w:ascii="Arial" w:hAnsi="Arial" w:cs="Arial"/>
          <w:sz w:val="20"/>
          <w:szCs w:val="20"/>
        </w:rPr>
        <w:t>Safer Care Victoria (2018) Antepartum haemorrhage assessment and management. Victorian Government.</w:t>
      </w:r>
    </w:p>
    <w:p w14:paraId="3DEF4899" w14:textId="77777777" w:rsidR="00603877" w:rsidRPr="00BA1B7B" w:rsidRDefault="00A97F97" w:rsidP="00603877">
      <w:pPr>
        <w:pStyle w:val="ListParagraph"/>
        <w:spacing w:line="276" w:lineRule="auto"/>
        <w:rPr>
          <w:rStyle w:val="Hyperlink"/>
          <w:rFonts w:ascii="Arial" w:hAnsi="Arial" w:cs="Arial"/>
          <w:color w:val="auto"/>
          <w:sz w:val="20"/>
          <w:szCs w:val="20"/>
        </w:rPr>
      </w:pPr>
      <w:hyperlink r:id="rId132" w:anchor="goto-references" w:history="1">
        <w:r w:rsidR="00603877" w:rsidRPr="00BA1B7B">
          <w:rPr>
            <w:rStyle w:val="Hyperlink"/>
            <w:rFonts w:ascii="Arial" w:hAnsi="Arial" w:cs="Arial"/>
            <w:color w:val="auto"/>
            <w:sz w:val="20"/>
            <w:szCs w:val="20"/>
          </w:rPr>
          <w:t>https://www.bettersafercare.vic.gov.au/resources/clinical-guidance/maternity-ehandbook/antepartum-haemorrhage-assessment-and-management#goto-references</w:t>
        </w:r>
      </w:hyperlink>
    </w:p>
    <w:p w14:paraId="1FC0F38B" w14:textId="77777777" w:rsidR="00603877" w:rsidRPr="00BA1B7B" w:rsidRDefault="00603877" w:rsidP="00603877">
      <w:pPr>
        <w:pStyle w:val="ListParagraph"/>
        <w:spacing w:line="276" w:lineRule="auto"/>
        <w:rPr>
          <w:rStyle w:val="Hyperlink"/>
          <w:rFonts w:ascii="Arial" w:hAnsi="Arial" w:cs="Arial"/>
          <w:color w:val="auto"/>
          <w:sz w:val="20"/>
          <w:szCs w:val="20"/>
        </w:rPr>
      </w:pPr>
    </w:p>
    <w:p w14:paraId="2D09C7AF" w14:textId="37ECBD88" w:rsidR="00D64801" w:rsidRPr="00BA1B7B" w:rsidRDefault="00603877" w:rsidP="007A499C">
      <w:pPr>
        <w:pStyle w:val="ListParagraph"/>
        <w:numPr>
          <w:ilvl w:val="0"/>
          <w:numId w:val="32"/>
        </w:numPr>
        <w:tabs>
          <w:tab w:val="left" w:pos="1324"/>
        </w:tabs>
        <w:spacing w:before="116" w:line="276" w:lineRule="auto"/>
        <w:ind w:right="993"/>
        <w:rPr>
          <w:rFonts w:ascii="Arial" w:hAnsi="Arial" w:cs="Arial"/>
          <w:sz w:val="20"/>
          <w:szCs w:val="20"/>
        </w:rPr>
      </w:pPr>
      <w:r w:rsidRPr="00BA1B7B">
        <w:rPr>
          <w:rFonts w:ascii="Arial" w:hAnsi="Arial" w:cs="Arial"/>
          <w:sz w:val="20"/>
          <w:szCs w:val="20"/>
        </w:rPr>
        <w:t xml:space="preserve">Sharma, D., Shastri, S. and Sharma, </w:t>
      </w:r>
      <w:r w:rsidRPr="00BA1B7B">
        <w:rPr>
          <w:rFonts w:ascii="Arial" w:hAnsi="Arial" w:cs="Arial"/>
          <w:spacing w:val="-14"/>
          <w:sz w:val="20"/>
          <w:szCs w:val="20"/>
        </w:rPr>
        <w:t xml:space="preserve">P. </w:t>
      </w:r>
      <w:r w:rsidRPr="00BA1B7B">
        <w:rPr>
          <w:rFonts w:ascii="Arial" w:hAnsi="Arial" w:cs="Arial"/>
          <w:sz w:val="20"/>
          <w:szCs w:val="20"/>
        </w:rPr>
        <w:t>(2016). Intrauterine Growth Restriction: Antenatal and Post-natal Aspects.</w:t>
      </w:r>
      <w:r w:rsidRPr="00BA1B7B">
        <w:rPr>
          <w:rFonts w:ascii="Arial" w:hAnsi="Arial" w:cs="Arial"/>
          <w:spacing w:val="-9"/>
          <w:sz w:val="20"/>
          <w:szCs w:val="20"/>
        </w:rPr>
        <w:t xml:space="preserve"> </w:t>
      </w:r>
      <w:r w:rsidRPr="00BA1B7B">
        <w:rPr>
          <w:rFonts w:ascii="Arial" w:hAnsi="Arial" w:cs="Arial"/>
          <w:sz w:val="20"/>
          <w:szCs w:val="20"/>
        </w:rPr>
        <w:t>Clinical</w:t>
      </w:r>
      <w:r w:rsidRPr="00BA1B7B">
        <w:rPr>
          <w:rFonts w:ascii="Arial" w:hAnsi="Arial" w:cs="Arial"/>
          <w:spacing w:val="-10"/>
          <w:sz w:val="20"/>
          <w:szCs w:val="20"/>
        </w:rPr>
        <w:t xml:space="preserve"> </w:t>
      </w:r>
      <w:r w:rsidRPr="00BA1B7B">
        <w:rPr>
          <w:rFonts w:ascii="Arial" w:hAnsi="Arial" w:cs="Arial"/>
          <w:sz w:val="20"/>
          <w:szCs w:val="20"/>
        </w:rPr>
        <w:t>Medicine</w:t>
      </w:r>
      <w:r w:rsidRPr="00BA1B7B">
        <w:rPr>
          <w:rFonts w:ascii="Arial" w:hAnsi="Arial" w:cs="Arial"/>
          <w:spacing w:val="-8"/>
          <w:sz w:val="20"/>
          <w:szCs w:val="20"/>
        </w:rPr>
        <w:t xml:space="preserve"> </w:t>
      </w:r>
      <w:r w:rsidRPr="00BA1B7B">
        <w:rPr>
          <w:rFonts w:ascii="Arial" w:hAnsi="Arial" w:cs="Arial"/>
          <w:sz w:val="20"/>
          <w:szCs w:val="20"/>
        </w:rPr>
        <w:t>Insights:</w:t>
      </w:r>
      <w:r w:rsidRPr="00BA1B7B">
        <w:rPr>
          <w:rFonts w:ascii="Arial" w:hAnsi="Arial" w:cs="Arial"/>
          <w:spacing w:val="-9"/>
          <w:sz w:val="20"/>
          <w:szCs w:val="20"/>
        </w:rPr>
        <w:t xml:space="preserve"> </w:t>
      </w:r>
      <w:r w:rsidRPr="00BA1B7B">
        <w:rPr>
          <w:rFonts w:ascii="Arial" w:hAnsi="Arial" w:cs="Arial"/>
          <w:sz w:val="20"/>
          <w:szCs w:val="20"/>
        </w:rPr>
        <w:t>Pediatrics,</w:t>
      </w:r>
      <w:r w:rsidRPr="00BA1B7B">
        <w:rPr>
          <w:rFonts w:ascii="Arial" w:hAnsi="Arial" w:cs="Arial"/>
          <w:spacing w:val="-9"/>
          <w:sz w:val="20"/>
          <w:szCs w:val="20"/>
        </w:rPr>
        <w:t xml:space="preserve"> </w:t>
      </w:r>
      <w:r w:rsidRPr="00BA1B7B">
        <w:rPr>
          <w:rFonts w:ascii="Arial" w:hAnsi="Arial" w:cs="Arial"/>
          <w:sz w:val="20"/>
          <w:szCs w:val="20"/>
        </w:rPr>
        <w:t>10,</w:t>
      </w:r>
      <w:r w:rsidRPr="00BA1B7B">
        <w:rPr>
          <w:rFonts w:ascii="Arial" w:hAnsi="Arial" w:cs="Arial"/>
          <w:spacing w:val="-8"/>
          <w:sz w:val="20"/>
          <w:szCs w:val="20"/>
        </w:rPr>
        <w:t xml:space="preserve"> </w:t>
      </w:r>
      <w:r w:rsidRPr="00BA1B7B">
        <w:rPr>
          <w:rFonts w:ascii="Arial" w:hAnsi="Arial" w:cs="Arial"/>
          <w:sz w:val="20"/>
          <w:szCs w:val="20"/>
        </w:rPr>
        <w:t>p.CMPed.S40070.</w:t>
      </w:r>
      <w:r w:rsidRPr="00BA1B7B">
        <w:rPr>
          <w:rFonts w:ascii="Arial" w:hAnsi="Arial" w:cs="Arial"/>
          <w:spacing w:val="-9"/>
          <w:sz w:val="20"/>
          <w:szCs w:val="20"/>
        </w:rPr>
        <w:t xml:space="preserve"> </w:t>
      </w:r>
      <w:r w:rsidRPr="00BA1B7B">
        <w:rPr>
          <w:rFonts w:ascii="Arial" w:hAnsi="Arial" w:cs="Arial"/>
          <w:sz w:val="20"/>
          <w:szCs w:val="20"/>
        </w:rPr>
        <w:t>Available</w:t>
      </w:r>
      <w:r w:rsidRPr="00BA1B7B">
        <w:rPr>
          <w:rFonts w:ascii="Arial" w:hAnsi="Arial" w:cs="Arial"/>
          <w:spacing w:val="-9"/>
          <w:sz w:val="20"/>
          <w:szCs w:val="20"/>
        </w:rPr>
        <w:t xml:space="preserve"> </w:t>
      </w:r>
      <w:r w:rsidRPr="00BA1B7B">
        <w:rPr>
          <w:rFonts w:ascii="Arial" w:hAnsi="Arial" w:cs="Arial"/>
          <w:sz w:val="20"/>
          <w:szCs w:val="20"/>
        </w:rPr>
        <w:t>at:</w:t>
      </w:r>
      <w:r w:rsidRPr="00BA1B7B">
        <w:rPr>
          <w:rFonts w:ascii="Arial" w:hAnsi="Arial" w:cs="Arial"/>
          <w:spacing w:val="-9"/>
          <w:sz w:val="20"/>
          <w:szCs w:val="20"/>
        </w:rPr>
        <w:t xml:space="preserve"> </w:t>
      </w:r>
      <w:hyperlink r:id="rId133" w:history="1">
        <w:r w:rsidRPr="00BA1B7B">
          <w:rPr>
            <w:rStyle w:val="Hyperlink"/>
            <w:rFonts w:ascii="Arial" w:hAnsi="Arial" w:cs="Arial"/>
            <w:color w:val="auto"/>
            <w:sz w:val="20"/>
            <w:szCs w:val="20"/>
          </w:rPr>
          <w:t>https://www.ncbi.nlm.nih.</w:t>
        </w:r>
      </w:hyperlink>
      <w:hyperlink r:id="rId134" w:history="1">
        <w:r w:rsidRPr="00BA1B7B">
          <w:rPr>
            <w:rStyle w:val="Hyperlink"/>
            <w:rFonts w:ascii="Arial" w:hAnsi="Arial" w:cs="Arial"/>
            <w:color w:val="auto"/>
            <w:sz w:val="20"/>
            <w:szCs w:val="20"/>
          </w:rPr>
          <w:t xml:space="preserve"> gov/pmc/articles/PMC4946587/ </w:t>
        </w:r>
      </w:hyperlink>
    </w:p>
    <w:p w14:paraId="6B3E4F20" w14:textId="114D917F" w:rsidR="00D64801" w:rsidRDefault="00D64801" w:rsidP="004E7BEF">
      <w:pPr>
        <w:pStyle w:val="SubheadingLevel2EASH"/>
        <w:spacing w:line="276" w:lineRule="auto"/>
        <w:ind w:left="0" w:right="95"/>
        <w:rPr>
          <w:color w:val="auto"/>
        </w:rPr>
      </w:pPr>
    </w:p>
    <w:p w14:paraId="67D36636" w14:textId="3709AED8" w:rsidR="005F1FD7" w:rsidRDefault="005F1FD7" w:rsidP="004E7BEF">
      <w:pPr>
        <w:pStyle w:val="SubheadingLevel2EASH"/>
        <w:spacing w:line="276" w:lineRule="auto"/>
        <w:ind w:left="0" w:right="95"/>
        <w:rPr>
          <w:color w:val="auto"/>
        </w:rPr>
      </w:pPr>
    </w:p>
    <w:p w14:paraId="09855E47" w14:textId="3FBA30B0" w:rsidR="005F1FD7" w:rsidRDefault="005F1FD7" w:rsidP="004E7BEF">
      <w:pPr>
        <w:pStyle w:val="SubheadingLevel2EASH"/>
        <w:spacing w:line="276" w:lineRule="auto"/>
        <w:ind w:left="0" w:right="95"/>
        <w:rPr>
          <w:color w:val="auto"/>
        </w:rPr>
      </w:pPr>
    </w:p>
    <w:p w14:paraId="64EAADBF" w14:textId="15379F3D" w:rsidR="005F1FD7" w:rsidRDefault="005F1FD7" w:rsidP="004E7BEF">
      <w:pPr>
        <w:pStyle w:val="SubheadingLevel2EASH"/>
        <w:spacing w:line="276" w:lineRule="auto"/>
        <w:ind w:left="0" w:right="95"/>
        <w:rPr>
          <w:color w:val="auto"/>
        </w:rPr>
      </w:pPr>
    </w:p>
    <w:p w14:paraId="11E491B9" w14:textId="08B72048" w:rsidR="005F1FD7" w:rsidRDefault="005F1FD7" w:rsidP="004E7BEF">
      <w:pPr>
        <w:pStyle w:val="SubheadingLevel2EASH"/>
        <w:spacing w:line="276" w:lineRule="auto"/>
        <w:ind w:left="0" w:right="95"/>
        <w:rPr>
          <w:color w:val="auto"/>
        </w:rPr>
      </w:pPr>
    </w:p>
    <w:p w14:paraId="745E14DD" w14:textId="585350A7" w:rsidR="005F1FD7" w:rsidRDefault="005F1FD7" w:rsidP="004E7BEF">
      <w:pPr>
        <w:pStyle w:val="SubheadingLevel2EASH"/>
        <w:spacing w:line="276" w:lineRule="auto"/>
        <w:ind w:left="0" w:right="95"/>
        <w:rPr>
          <w:color w:val="auto"/>
        </w:rPr>
      </w:pPr>
    </w:p>
    <w:p w14:paraId="0F4A05F1" w14:textId="25D297EA" w:rsidR="005F1FD7" w:rsidRDefault="005F1FD7" w:rsidP="004E7BEF">
      <w:pPr>
        <w:pStyle w:val="SubheadingLevel2EASH"/>
        <w:spacing w:line="276" w:lineRule="auto"/>
        <w:ind w:left="0" w:right="95"/>
        <w:rPr>
          <w:color w:val="auto"/>
        </w:rPr>
      </w:pPr>
    </w:p>
    <w:p w14:paraId="1B1AA9AD" w14:textId="68EC1821" w:rsidR="005F1FD7" w:rsidRDefault="005F1FD7" w:rsidP="004E7BEF">
      <w:pPr>
        <w:pStyle w:val="SubheadingLevel2EASH"/>
        <w:spacing w:line="276" w:lineRule="auto"/>
        <w:ind w:left="0" w:right="95"/>
        <w:rPr>
          <w:color w:val="auto"/>
        </w:rPr>
      </w:pPr>
    </w:p>
    <w:p w14:paraId="4466925D" w14:textId="2E09D49A" w:rsidR="005F1FD7" w:rsidRDefault="005F1FD7" w:rsidP="004E7BEF">
      <w:pPr>
        <w:pStyle w:val="SubheadingLevel2EASH"/>
        <w:spacing w:line="276" w:lineRule="auto"/>
        <w:ind w:left="0" w:right="95"/>
        <w:rPr>
          <w:color w:val="auto"/>
        </w:rPr>
      </w:pPr>
    </w:p>
    <w:p w14:paraId="4A2DD11E" w14:textId="5ABC3613" w:rsidR="005F1FD7" w:rsidRDefault="005F1FD7" w:rsidP="004E7BEF">
      <w:pPr>
        <w:pStyle w:val="SubheadingLevel2EASH"/>
        <w:spacing w:line="276" w:lineRule="auto"/>
        <w:ind w:left="0" w:right="95"/>
        <w:rPr>
          <w:color w:val="auto"/>
        </w:rPr>
      </w:pPr>
    </w:p>
    <w:p w14:paraId="0173705E" w14:textId="44AA641F" w:rsidR="005F1FD7" w:rsidRDefault="005F1FD7" w:rsidP="004E7BEF">
      <w:pPr>
        <w:pStyle w:val="SubheadingLevel2EASH"/>
        <w:spacing w:line="276" w:lineRule="auto"/>
        <w:ind w:left="0" w:right="95"/>
        <w:rPr>
          <w:color w:val="auto"/>
        </w:rPr>
      </w:pPr>
    </w:p>
    <w:p w14:paraId="57CFC5EA" w14:textId="58E88057" w:rsidR="005F1FD7" w:rsidRDefault="005F1FD7" w:rsidP="004E7BEF">
      <w:pPr>
        <w:pStyle w:val="SubheadingLevel2EASH"/>
        <w:spacing w:line="276" w:lineRule="auto"/>
        <w:ind w:left="0" w:right="95"/>
        <w:rPr>
          <w:color w:val="auto"/>
        </w:rPr>
      </w:pPr>
    </w:p>
    <w:p w14:paraId="6A907DBE" w14:textId="4434D0B1" w:rsidR="005F1FD7" w:rsidRDefault="005F1FD7" w:rsidP="004E7BEF">
      <w:pPr>
        <w:pStyle w:val="SubheadingLevel2EASH"/>
        <w:spacing w:line="276" w:lineRule="auto"/>
        <w:ind w:left="0" w:right="95"/>
        <w:rPr>
          <w:color w:val="auto"/>
        </w:rPr>
      </w:pPr>
    </w:p>
    <w:p w14:paraId="3936FB01" w14:textId="0D483400" w:rsidR="005F1FD7" w:rsidRDefault="005F1FD7" w:rsidP="004E7BEF">
      <w:pPr>
        <w:pStyle w:val="SubheadingLevel2EASH"/>
        <w:spacing w:line="276" w:lineRule="auto"/>
        <w:ind w:left="0" w:right="95"/>
        <w:rPr>
          <w:color w:val="auto"/>
        </w:rPr>
      </w:pPr>
    </w:p>
    <w:p w14:paraId="25FFA74A" w14:textId="5BC179B4" w:rsidR="005F1FD7" w:rsidRDefault="005F1FD7" w:rsidP="004E7BEF">
      <w:pPr>
        <w:pStyle w:val="SubheadingLevel2EASH"/>
        <w:spacing w:line="276" w:lineRule="auto"/>
        <w:ind w:left="0" w:right="95"/>
        <w:rPr>
          <w:color w:val="auto"/>
        </w:rPr>
      </w:pPr>
    </w:p>
    <w:p w14:paraId="2866D498" w14:textId="0BF69BC5" w:rsidR="005F1FD7" w:rsidRDefault="005F1FD7" w:rsidP="004E7BEF">
      <w:pPr>
        <w:pStyle w:val="SubheadingLevel2EASH"/>
        <w:spacing w:line="276" w:lineRule="auto"/>
        <w:ind w:left="0" w:right="95"/>
        <w:rPr>
          <w:color w:val="auto"/>
        </w:rPr>
      </w:pPr>
    </w:p>
    <w:p w14:paraId="0EC29229" w14:textId="596DEE35" w:rsidR="005F1FD7" w:rsidRDefault="005F1FD7" w:rsidP="004E7BEF">
      <w:pPr>
        <w:pStyle w:val="SubheadingLevel2EASH"/>
        <w:spacing w:line="276" w:lineRule="auto"/>
        <w:ind w:left="0" w:right="95"/>
        <w:rPr>
          <w:color w:val="auto"/>
        </w:rPr>
      </w:pPr>
    </w:p>
    <w:p w14:paraId="695853BF" w14:textId="7C91C72F" w:rsidR="005F1FD7" w:rsidRDefault="005F1FD7" w:rsidP="004E7BEF">
      <w:pPr>
        <w:pStyle w:val="SubheadingLevel2EASH"/>
        <w:spacing w:line="276" w:lineRule="auto"/>
        <w:ind w:left="0" w:right="95"/>
        <w:rPr>
          <w:color w:val="auto"/>
        </w:rPr>
      </w:pPr>
    </w:p>
    <w:p w14:paraId="7F935F7D" w14:textId="53C343B5" w:rsidR="005F1FD7" w:rsidRDefault="005F1FD7" w:rsidP="004E7BEF">
      <w:pPr>
        <w:pStyle w:val="SubheadingLevel2EASH"/>
        <w:spacing w:line="276" w:lineRule="auto"/>
        <w:ind w:left="0" w:right="95"/>
        <w:rPr>
          <w:color w:val="auto"/>
        </w:rPr>
      </w:pPr>
    </w:p>
    <w:p w14:paraId="050955FE" w14:textId="52349F94" w:rsidR="005F1FD7" w:rsidRDefault="005F1FD7" w:rsidP="004E7BEF">
      <w:pPr>
        <w:pStyle w:val="SubheadingLevel2EASH"/>
        <w:spacing w:line="276" w:lineRule="auto"/>
        <w:ind w:left="0" w:right="95"/>
        <w:rPr>
          <w:color w:val="auto"/>
        </w:rPr>
      </w:pPr>
    </w:p>
    <w:p w14:paraId="47DAD458" w14:textId="31111D2B" w:rsidR="005F1FD7" w:rsidRDefault="005F1FD7" w:rsidP="004E7BEF">
      <w:pPr>
        <w:pStyle w:val="SubheadingLevel2EASH"/>
        <w:spacing w:line="276" w:lineRule="auto"/>
        <w:ind w:left="0" w:right="95"/>
        <w:rPr>
          <w:color w:val="auto"/>
        </w:rPr>
      </w:pPr>
    </w:p>
    <w:p w14:paraId="7898D55B" w14:textId="77777777" w:rsidR="005F1FD7" w:rsidRDefault="005F1FD7" w:rsidP="004E7BEF">
      <w:pPr>
        <w:pStyle w:val="SubheadingLevel2EASH"/>
        <w:spacing w:line="276" w:lineRule="auto"/>
        <w:ind w:left="0" w:right="95"/>
        <w:rPr>
          <w:color w:val="auto"/>
        </w:rPr>
      </w:pPr>
    </w:p>
    <w:p w14:paraId="2D1A97BF" w14:textId="2AC05EA2" w:rsidR="005F1FD7" w:rsidRDefault="005F1FD7" w:rsidP="004E7BEF">
      <w:pPr>
        <w:pStyle w:val="SubheadingLevel2EASH"/>
        <w:spacing w:line="276" w:lineRule="auto"/>
        <w:ind w:left="0" w:right="95"/>
        <w:rPr>
          <w:color w:val="auto"/>
        </w:rPr>
      </w:pPr>
    </w:p>
    <w:p w14:paraId="30FB335C" w14:textId="4424F502" w:rsidR="005F1FD7" w:rsidRDefault="005F1FD7" w:rsidP="004E7BEF">
      <w:pPr>
        <w:pStyle w:val="SubheadingLevel2EASH"/>
        <w:spacing w:line="276" w:lineRule="auto"/>
        <w:ind w:left="0" w:right="95"/>
        <w:rPr>
          <w:color w:val="auto"/>
        </w:rPr>
      </w:pPr>
    </w:p>
    <w:p w14:paraId="58D817AE" w14:textId="77777777" w:rsidR="005F1FD7" w:rsidRPr="00BA1B7B" w:rsidRDefault="005F1FD7" w:rsidP="004E7BEF">
      <w:pPr>
        <w:pStyle w:val="SubheadingLevel2EASH"/>
        <w:spacing w:line="276" w:lineRule="auto"/>
        <w:ind w:left="0" w:right="95"/>
        <w:rPr>
          <w:color w:val="auto"/>
        </w:rPr>
      </w:pPr>
    </w:p>
    <w:p w14:paraId="2E2B918A" w14:textId="369268D0" w:rsidR="00D64801" w:rsidRPr="00BA1B7B" w:rsidRDefault="00D64801" w:rsidP="002348E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72" w:name="_Toc120614308"/>
      <w:r w:rsidRPr="00BA1B7B">
        <w:rPr>
          <w:rFonts w:ascii="Arial" w:eastAsia="Times New Roman" w:hAnsi="Arial" w:cs="Arial"/>
          <w:b/>
          <w:bCs/>
          <w:sz w:val="20"/>
          <w:szCs w:val="20"/>
          <w:lang w:eastAsia="en-AU"/>
        </w:rPr>
        <w:t>7. Common Pregnancy Conditions - Treatment, Management and Recommendations</w:t>
      </w:r>
      <w:bookmarkEnd w:id="72"/>
      <w:r w:rsidRPr="00BA1B7B">
        <w:rPr>
          <w:rFonts w:ascii="Arial" w:eastAsia="Times New Roman" w:hAnsi="Arial" w:cs="Arial"/>
          <w:b/>
          <w:bCs/>
          <w:sz w:val="20"/>
          <w:szCs w:val="20"/>
          <w:lang w:eastAsia="en-AU"/>
        </w:rPr>
        <w:t xml:space="preserve"> </w:t>
      </w:r>
    </w:p>
    <w:p w14:paraId="587B28C2" w14:textId="5939A453" w:rsidR="00D64801" w:rsidRPr="00BA1B7B" w:rsidRDefault="00D64801"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73" w:name="_Toc120614309"/>
      <w:r w:rsidRPr="00BA1B7B">
        <w:rPr>
          <w:rFonts w:ascii="Arial" w:eastAsia="Times New Roman" w:hAnsi="Arial" w:cs="Arial"/>
          <w:b/>
          <w:bCs/>
          <w:sz w:val="20"/>
          <w:szCs w:val="20"/>
          <w:lang w:eastAsia="en-AU"/>
        </w:rPr>
        <w:t>7.1 Gestational Diabetes Mellitus (GDM)</w:t>
      </w:r>
      <w:bookmarkEnd w:id="73"/>
    </w:p>
    <w:p w14:paraId="07D77B36" w14:textId="61EE553B" w:rsidR="00D64801" w:rsidRPr="00BA1B7B" w:rsidRDefault="00D64801" w:rsidP="00D64801">
      <w:pPr>
        <w:spacing w:line="276" w:lineRule="auto"/>
        <w:rPr>
          <w:rFonts w:ascii="Arial" w:hAnsi="Arial" w:cs="Arial"/>
          <w:b/>
          <w:sz w:val="20"/>
          <w:szCs w:val="20"/>
        </w:rPr>
      </w:pPr>
      <w:r w:rsidRPr="00BA1B7B">
        <w:rPr>
          <w:rFonts w:ascii="Arial" w:hAnsi="Arial" w:cs="Arial"/>
          <w:b/>
          <w:sz w:val="20"/>
          <w:szCs w:val="20"/>
        </w:rPr>
        <w:t>Testing for Gestational Diabetes during the Covid 19 pandemic – refer to link</w:t>
      </w:r>
    </w:p>
    <w:p w14:paraId="709E8D32" w14:textId="77777777" w:rsidR="00D64801" w:rsidRPr="00BA1B7B" w:rsidRDefault="00A97F97" w:rsidP="00D64801">
      <w:pPr>
        <w:spacing w:line="276" w:lineRule="auto"/>
        <w:rPr>
          <w:rFonts w:ascii="Arial" w:hAnsi="Arial" w:cs="Arial"/>
          <w:b/>
          <w:sz w:val="20"/>
          <w:szCs w:val="20"/>
        </w:rPr>
      </w:pPr>
      <w:hyperlink r:id="rId135" w:history="1">
        <w:r w:rsidR="00D64801" w:rsidRPr="00BA1B7B">
          <w:rPr>
            <w:rStyle w:val="Hyperlink"/>
            <w:rFonts w:ascii="Arial" w:hAnsi="Arial" w:cs="Arial"/>
            <w:b/>
            <w:color w:val="auto"/>
            <w:sz w:val="20"/>
            <w:szCs w:val="20"/>
          </w:rPr>
          <w:t>https://diabetessociety.com.au/downloads/20200404%20COVID-19%20GDM%20Diagnosis%20030420%20ADIPS%20ADS%20ADEA%20DA%20for%20Website%20.pdf</w:t>
        </w:r>
      </w:hyperlink>
    </w:p>
    <w:p w14:paraId="0D9BBB6A" w14:textId="77777777" w:rsidR="00D64801" w:rsidRPr="00BA1B7B" w:rsidRDefault="00D64801" w:rsidP="00D64801">
      <w:pPr>
        <w:spacing w:line="276" w:lineRule="auto"/>
        <w:rPr>
          <w:rFonts w:ascii="Arial" w:hAnsi="Arial" w:cs="Arial"/>
          <w:b/>
          <w:sz w:val="20"/>
          <w:szCs w:val="20"/>
        </w:rPr>
      </w:pPr>
    </w:p>
    <w:p w14:paraId="2A719BEA" w14:textId="08771189" w:rsidR="00D64801" w:rsidRDefault="00D64801" w:rsidP="00D64801">
      <w:pPr>
        <w:spacing w:line="276" w:lineRule="auto"/>
        <w:rPr>
          <w:rFonts w:ascii="Arial" w:hAnsi="Arial" w:cs="Arial"/>
          <w:b/>
          <w:sz w:val="20"/>
          <w:szCs w:val="20"/>
        </w:rPr>
      </w:pPr>
      <w:r w:rsidRPr="00BA1B7B">
        <w:rPr>
          <w:rFonts w:ascii="Arial" w:hAnsi="Arial" w:cs="Arial"/>
          <w:b/>
          <w:sz w:val="20"/>
          <w:szCs w:val="20"/>
        </w:rPr>
        <w:t>Pre Covid-19 GDM Management Guidelines</w:t>
      </w:r>
    </w:p>
    <w:p w14:paraId="5AE8585C" w14:textId="77777777" w:rsidR="005F1FD7" w:rsidRPr="00BA1B7B" w:rsidRDefault="005F1FD7" w:rsidP="00D64801">
      <w:pPr>
        <w:spacing w:line="276" w:lineRule="auto"/>
        <w:rPr>
          <w:rFonts w:ascii="Arial" w:hAnsi="Arial" w:cs="Arial"/>
          <w:b/>
          <w:sz w:val="20"/>
          <w:szCs w:val="20"/>
        </w:rPr>
      </w:pPr>
    </w:p>
    <w:p w14:paraId="637721A5"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Diabetes Australia states that in Australia, 1 in every 8 women will be diagnosed with gestational diabetes in pregnancy. Gestational diabetes mellitus (GDM) is defined as hyperglycaemia with onset or first recognition during pregnancy. Whilst gestational diabetes normally presents in women between 24-28 weeks of pregnancy, it can be present earlier. Since gestational diabetes can have long-term pathological consequences for both mother and the baby, it is important that it is promptly diagnosed and adequately managed.</w:t>
      </w:r>
    </w:p>
    <w:p w14:paraId="6C529546" w14:textId="77777777" w:rsidR="00D64801" w:rsidRPr="00BA1B7B" w:rsidRDefault="00D64801" w:rsidP="00D64801">
      <w:pPr>
        <w:spacing w:line="276" w:lineRule="auto"/>
        <w:rPr>
          <w:rFonts w:ascii="Arial" w:hAnsi="Arial" w:cs="Arial"/>
          <w:sz w:val="20"/>
          <w:szCs w:val="20"/>
        </w:rPr>
      </w:pPr>
    </w:p>
    <w:p w14:paraId="37359292"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Eastern Health’s Gestational Diabetes Mellitus screening and management follows the national recommended guidelines as endorsed by RANZCOG, the Australasian Diabetes in Pregnancy Society (ADIPS) and Diabetes Australia.  The following recommendations are for women who have not previously been diagnosed as type 1 or type 2 diabetics. </w:t>
      </w:r>
    </w:p>
    <w:p w14:paraId="1D44B37F" w14:textId="77777777" w:rsidR="00D64801" w:rsidRPr="00BA1B7B" w:rsidRDefault="00D64801" w:rsidP="00D64801">
      <w:pPr>
        <w:spacing w:line="276" w:lineRule="auto"/>
        <w:rPr>
          <w:rFonts w:ascii="Arial" w:hAnsi="Arial" w:cs="Arial"/>
          <w:sz w:val="20"/>
          <w:szCs w:val="20"/>
        </w:rPr>
      </w:pPr>
    </w:p>
    <w:p w14:paraId="6FA6DB69" w14:textId="1A3E02FD" w:rsidR="00D64801" w:rsidRDefault="00D64801" w:rsidP="00D64801">
      <w:pPr>
        <w:spacing w:line="276" w:lineRule="auto"/>
        <w:rPr>
          <w:rFonts w:ascii="Arial" w:hAnsi="Arial" w:cs="Arial"/>
          <w:b/>
          <w:bCs/>
          <w:sz w:val="20"/>
          <w:szCs w:val="20"/>
        </w:rPr>
      </w:pPr>
      <w:r w:rsidRPr="00BA1B7B">
        <w:rPr>
          <w:rFonts w:ascii="Arial" w:hAnsi="Arial" w:cs="Arial"/>
          <w:b/>
          <w:bCs/>
          <w:sz w:val="20"/>
          <w:szCs w:val="20"/>
        </w:rPr>
        <w:t xml:space="preserve">Screening for GDM in the pregnant woman </w:t>
      </w:r>
    </w:p>
    <w:p w14:paraId="5805725C" w14:textId="77777777" w:rsidR="005F1FD7" w:rsidRPr="00BA1B7B" w:rsidRDefault="005F1FD7" w:rsidP="00D64801">
      <w:pPr>
        <w:spacing w:line="276" w:lineRule="auto"/>
        <w:rPr>
          <w:rFonts w:ascii="Arial" w:hAnsi="Arial" w:cs="Arial"/>
          <w:b/>
          <w:bCs/>
          <w:sz w:val="20"/>
          <w:szCs w:val="20"/>
        </w:rPr>
      </w:pPr>
    </w:p>
    <w:p w14:paraId="6F3C47E6"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Universal screening of all women at Eastern Health regardless of calculated risk factors is the recommended best practise. The timing and process of screening for GDM is dependent on the following risk factors. </w:t>
      </w:r>
      <w:r w:rsidRPr="00BA1B7B">
        <w:rPr>
          <w:rFonts w:ascii="Arial" w:eastAsia="Times New Roman" w:hAnsi="Arial" w:cs="Arial"/>
          <w:sz w:val="20"/>
          <w:szCs w:val="20"/>
          <w:lang w:eastAsia="en-AU"/>
        </w:rPr>
        <w:t xml:space="preserve">At the initial confirmation of pregnancy appointment with her GP, all women should be assessed for risk factors based on the table below. </w:t>
      </w:r>
    </w:p>
    <w:p w14:paraId="769F2D06" w14:textId="77777777" w:rsidR="00D64801" w:rsidRPr="00BA1B7B" w:rsidRDefault="00D64801" w:rsidP="00D64801">
      <w:pPr>
        <w:spacing w:before="100" w:beforeAutospacing="1" w:after="100" w:afterAutospacing="1" w:line="276" w:lineRule="auto"/>
        <w:rPr>
          <w:rFonts w:ascii="Arial" w:eastAsia="Times New Roman" w:hAnsi="Arial" w:cs="Arial"/>
          <w:sz w:val="20"/>
          <w:szCs w:val="20"/>
          <w:lang w:eastAsia="en-AU"/>
        </w:rPr>
      </w:pPr>
      <w:r w:rsidRPr="00BA1B7B">
        <w:rPr>
          <w:rFonts w:ascii="Arial" w:eastAsia="Times New Roman" w:hAnsi="Arial" w:cs="Arial"/>
          <w:b/>
          <w:sz w:val="20"/>
          <w:szCs w:val="20"/>
          <w:u w:val="single"/>
          <w:lang w:eastAsia="en-AU"/>
        </w:rPr>
        <w:t>Table 1. Risk factor assessment for Gestational Diabetes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584"/>
        <w:gridCol w:w="2358"/>
      </w:tblGrid>
      <w:tr w:rsidR="00D64801" w:rsidRPr="00BA1B7B" w14:paraId="64D49E2A" w14:textId="77777777" w:rsidTr="00D64801">
        <w:tc>
          <w:tcPr>
            <w:tcW w:w="3510" w:type="dxa"/>
          </w:tcPr>
          <w:p w14:paraId="538F43BA" w14:textId="77777777" w:rsidR="00D64801" w:rsidRPr="00BA1B7B" w:rsidRDefault="00D64801" w:rsidP="00D64801">
            <w:pPr>
              <w:jc w:val="center"/>
              <w:rPr>
                <w:rFonts w:ascii="Arial" w:eastAsia="Times New Roman" w:hAnsi="Arial" w:cs="Arial"/>
                <w:b/>
                <w:sz w:val="20"/>
                <w:szCs w:val="20"/>
                <w:lang w:eastAsia="en-AU"/>
              </w:rPr>
            </w:pPr>
            <w:r w:rsidRPr="00BA1B7B">
              <w:rPr>
                <w:rFonts w:ascii="Arial" w:eastAsia="Times New Roman" w:hAnsi="Arial" w:cs="Arial"/>
                <w:b/>
                <w:sz w:val="20"/>
                <w:szCs w:val="20"/>
                <w:lang w:eastAsia="en-AU"/>
              </w:rPr>
              <w:t>High risk factors</w:t>
            </w:r>
          </w:p>
        </w:tc>
        <w:tc>
          <w:tcPr>
            <w:tcW w:w="4253" w:type="dxa"/>
          </w:tcPr>
          <w:p w14:paraId="3A261CD9" w14:textId="77777777" w:rsidR="00D64801" w:rsidRPr="00BA1B7B" w:rsidRDefault="00D64801" w:rsidP="00D64801">
            <w:pPr>
              <w:jc w:val="center"/>
              <w:rPr>
                <w:rFonts w:ascii="Arial" w:eastAsia="Times New Roman" w:hAnsi="Arial" w:cs="Arial"/>
                <w:b/>
                <w:sz w:val="20"/>
                <w:szCs w:val="20"/>
                <w:lang w:eastAsia="en-AU"/>
              </w:rPr>
            </w:pPr>
            <w:r w:rsidRPr="00BA1B7B">
              <w:rPr>
                <w:rFonts w:ascii="Arial" w:eastAsia="Times New Roman" w:hAnsi="Arial" w:cs="Arial"/>
                <w:b/>
                <w:sz w:val="20"/>
                <w:szCs w:val="20"/>
                <w:lang w:eastAsia="en-AU"/>
              </w:rPr>
              <w:t>Moderate risk factors</w:t>
            </w:r>
          </w:p>
        </w:tc>
        <w:tc>
          <w:tcPr>
            <w:tcW w:w="2551" w:type="dxa"/>
          </w:tcPr>
          <w:p w14:paraId="632D8859" w14:textId="77777777" w:rsidR="00D64801" w:rsidRPr="00BA1B7B" w:rsidRDefault="00D64801" w:rsidP="00D64801">
            <w:pPr>
              <w:jc w:val="center"/>
              <w:rPr>
                <w:rFonts w:ascii="Arial" w:eastAsia="Times New Roman" w:hAnsi="Arial" w:cs="Arial"/>
                <w:b/>
                <w:sz w:val="20"/>
                <w:szCs w:val="20"/>
                <w:lang w:eastAsia="en-AU"/>
              </w:rPr>
            </w:pPr>
            <w:r w:rsidRPr="00BA1B7B">
              <w:rPr>
                <w:rFonts w:ascii="Arial" w:eastAsia="Times New Roman" w:hAnsi="Arial" w:cs="Arial"/>
                <w:b/>
                <w:sz w:val="20"/>
                <w:szCs w:val="20"/>
                <w:lang w:eastAsia="en-AU"/>
              </w:rPr>
              <w:t>Low risk factors</w:t>
            </w:r>
          </w:p>
        </w:tc>
      </w:tr>
      <w:tr w:rsidR="00D64801" w:rsidRPr="00BA1B7B" w14:paraId="35F80E5A" w14:textId="77777777" w:rsidTr="00D64801">
        <w:tc>
          <w:tcPr>
            <w:tcW w:w="3510" w:type="dxa"/>
          </w:tcPr>
          <w:p w14:paraId="4BC4974F"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History of GDM </w:t>
            </w:r>
          </w:p>
          <w:p w14:paraId="4FED9AAC"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Previous raised BGL or impaired glucose tolerance. </w:t>
            </w:r>
          </w:p>
          <w:p w14:paraId="6953A4AE"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t>Age (&gt;40 years)</w:t>
            </w:r>
          </w:p>
          <w:p w14:paraId="48E18C24"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Polycystic Ovary Syndrome. </w:t>
            </w:r>
          </w:p>
          <w:p w14:paraId="0FCA0E42"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Past history of large for dates baby, congenital abnormality or stillbirth. </w:t>
            </w:r>
          </w:p>
          <w:p w14:paraId="5591B0E6"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lastRenderedPageBreak/>
              <w:t>BMI &gt;   35 kg/m</w:t>
            </w:r>
            <w:r w:rsidRPr="00BA1B7B">
              <w:rPr>
                <w:rFonts w:ascii="Arial" w:eastAsia="Times New Roman" w:hAnsi="Arial" w:cs="Arial"/>
                <w:sz w:val="20"/>
                <w:szCs w:val="20"/>
                <w:vertAlign w:val="superscript"/>
                <w:lang w:eastAsia="en-AU"/>
              </w:rPr>
              <w:t>2</w:t>
            </w:r>
            <w:r w:rsidRPr="00BA1B7B">
              <w:rPr>
                <w:rFonts w:ascii="Arial" w:eastAsia="Times New Roman" w:hAnsi="Arial" w:cs="Arial"/>
                <w:sz w:val="20"/>
                <w:szCs w:val="20"/>
                <w:lang w:eastAsia="en-AU"/>
              </w:rPr>
              <w:t>  at  any age</w:t>
            </w:r>
          </w:p>
          <w:p w14:paraId="513C46DD"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t>First degree family history of diabetes (incl GDM)</w:t>
            </w:r>
          </w:p>
          <w:p w14:paraId="107767ED"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t>Medications (corticosteroids and antipsychotics)</w:t>
            </w:r>
          </w:p>
        </w:tc>
        <w:tc>
          <w:tcPr>
            <w:tcW w:w="4253" w:type="dxa"/>
          </w:tcPr>
          <w:p w14:paraId="4FDAA831"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lastRenderedPageBreak/>
              <w:t xml:space="preserve">Ethnicity: </w:t>
            </w:r>
          </w:p>
          <w:p w14:paraId="12734961" w14:textId="77777777" w:rsidR="00D64801" w:rsidRPr="00BA1B7B" w:rsidRDefault="00D64801" w:rsidP="004A22FD">
            <w:pPr>
              <w:numPr>
                <w:ilvl w:val="0"/>
                <w:numId w:val="35"/>
              </w:numPr>
              <w:rPr>
                <w:rFonts w:ascii="Arial" w:eastAsia="Times New Roman" w:hAnsi="Arial" w:cs="Arial"/>
                <w:sz w:val="20"/>
                <w:szCs w:val="20"/>
                <w:lang w:eastAsia="en-AU"/>
              </w:rPr>
            </w:pPr>
            <w:r w:rsidRPr="00BA1B7B">
              <w:rPr>
                <w:rFonts w:ascii="Arial" w:eastAsia="Times New Roman" w:hAnsi="Arial" w:cs="Arial"/>
                <w:sz w:val="20"/>
                <w:szCs w:val="20"/>
                <w:lang w:eastAsia="en-AU"/>
              </w:rPr>
              <w:t>Asian</w:t>
            </w:r>
          </w:p>
          <w:p w14:paraId="6BD2BF17" w14:textId="77777777" w:rsidR="00D64801" w:rsidRPr="00BA1B7B" w:rsidRDefault="00D64801" w:rsidP="004A22FD">
            <w:pPr>
              <w:numPr>
                <w:ilvl w:val="0"/>
                <w:numId w:val="35"/>
              </w:numPr>
              <w:rPr>
                <w:rFonts w:ascii="Arial" w:eastAsia="Times New Roman" w:hAnsi="Arial" w:cs="Arial"/>
                <w:sz w:val="20"/>
                <w:szCs w:val="20"/>
                <w:lang w:eastAsia="en-AU"/>
              </w:rPr>
            </w:pPr>
            <w:r w:rsidRPr="00BA1B7B">
              <w:rPr>
                <w:rFonts w:ascii="Arial" w:eastAsia="Times New Roman" w:hAnsi="Arial" w:cs="Arial"/>
                <w:sz w:val="20"/>
                <w:szCs w:val="20"/>
                <w:lang w:eastAsia="en-AU"/>
              </w:rPr>
              <w:t>Indian sub-continent</w:t>
            </w:r>
          </w:p>
          <w:p w14:paraId="0EF9BFAF" w14:textId="77777777" w:rsidR="00D64801" w:rsidRPr="00BA1B7B" w:rsidRDefault="00D64801" w:rsidP="004A22FD">
            <w:pPr>
              <w:numPr>
                <w:ilvl w:val="0"/>
                <w:numId w:val="35"/>
              </w:numPr>
              <w:rPr>
                <w:rFonts w:ascii="Arial" w:eastAsia="Times New Roman" w:hAnsi="Arial" w:cs="Arial"/>
                <w:sz w:val="20"/>
                <w:szCs w:val="20"/>
                <w:lang w:eastAsia="en-AU"/>
              </w:rPr>
            </w:pPr>
            <w:r w:rsidRPr="00BA1B7B">
              <w:rPr>
                <w:rFonts w:ascii="Arial" w:eastAsia="Times New Roman" w:hAnsi="Arial" w:cs="Arial"/>
                <w:sz w:val="20"/>
                <w:szCs w:val="20"/>
                <w:lang w:eastAsia="en-AU"/>
              </w:rPr>
              <w:t>Aboriginal</w:t>
            </w:r>
          </w:p>
          <w:p w14:paraId="1E3B4676" w14:textId="77777777" w:rsidR="00D64801" w:rsidRPr="00BA1B7B" w:rsidRDefault="00D64801" w:rsidP="004A22FD">
            <w:pPr>
              <w:numPr>
                <w:ilvl w:val="0"/>
                <w:numId w:val="35"/>
              </w:numPr>
              <w:rPr>
                <w:rFonts w:ascii="Arial" w:eastAsia="Times New Roman" w:hAnsi="Arial" w:cs="Arial"/>
                <w:sz w:val="20"/>
                <w:szCs w:val="20"/>
                <w:lang w:eastAsia="en-AU"/>
              </w:rPr>
            </w:pPr>
            <w:r w:rsidRPr="00BA1B7B">
              <w:rPr>
                <w:rFonts w:ascii="Arial" w:eastAsia="Times New Roman" w:hAnsi="Arial" w:cs="Arial"/>
                <w:sz w:val="20"/>
                <w:szCs w:val="20"/>
                <w:lang w:eastAsia="en-AU"/>
              </w:rPr>
              <w:t>Torres strait Islander,</w:t>
            </w:r>
          </w:p>
          <w:p w14:paraId="630AE4F2" w14:textId="77777777" w:rsidR="00D64801" w:rsidRPr="00BA1B7B" w:rsidRDefault="00D64801" w:rsidP="004A22FD">
            <w:pPr>
              <w:numPr>
                <w:ilvl w:val="0"/>
                <w:numId w:val="35"/>
              </w:numPr>
              <w:rPr>
                <w:rFonts w:ascii="Arial" w:eastAsia="Times New Roman" w:hAnsi="Arial" w:cs="Arial"/>
                <w:sz w:val="20"/>
                <w:szCs w:val="20"/>
                <w:lang w:eastAsia="en-AU"/>
              </w:rPr>
            </w:pPr>
            <w:r w:rsidRPr="00BA1B7B">
              <w:rPr>
                <w:rFonts w:ascii="Arial" w:eastAsia="Times New Roman" w:hAnsi="Arial" w:cs="Arial"/>
                <w:sz w:val="20"/>
                <w:szCs w:val="20"/>
                <w:lang w:eastAsia="en-AU"/>
              </w:rPr>
              <w:t>Pacific Islander,</w:t>
            </w:r>
          </w:p>
          <w:p w14:paraId="33FE0E14" w14:textId="77777777" w:rsidR="00D64801" w:rsidRPr="00BA1B7B" w:rsidRDefault="00D64801" w:rsidP="004A22FD">
            <w:pPr>
              <w:numPr>
                <w:ilvl w:val="0"/>
                <w:numId w:val="35"/>
              </w:numPr>
              <w:rPr>
                <w:rFonts w:ascii="Arial" w:eastAsia="Times New Roman" w:hAnsi="Arial" w:cs="Arial"/>
                <w:sz w:val="20"/>
                <w:szCs w:val="20"/>
                <w:lang w:eastAsia="en-AU"/>
              </w:rPr>
            </w:pPr>
            <w:r w:rsidRPr="00BA1B7B">
              <w:rPr>
                <w:rFonts w:ascii="Arial" w:eastAsia="Times New Roman" w:hAnsi="Arial" w:cs="Arial"/>
                <w:sz w:val="20"/>
                <w:szCs w:val="20"/>
                <w:lang w:eastAsia="en-AU"/>
              </w:rPr>
              <w:t>Maori</w:t>
            </w:r>
          </w:p>
          <w:p w14:paraId="346ED9E7" w14:textId="77777777" w:rsidR="00D64801" w:rsidRPr="00BA1B7B" w:rsidRDefault="00D64801" w:rsidP="004A22FD">
            <w:pPr>
              <w:numPr>
                <w:ilvl w:val="0"/>
                <w:numId w:val="35"/>
              </w:numPr>
              <w:rPr>
                <w:rFonts w:ascii="Arial" w:eastAsia="Times New Roman" w:hAnsi="Arial" w:cs="Arial"/>
                <w:sz w:val="20"/>
                <w:szCs w:val="20"/>
                <w:lang w:eastAsia="en-AU"/>
              </w:rPr>
            </w:pPr>
            <w:r w:rsidRPr="00BA1B7B">
              <w:rPr>
                <w:rFonts w:ascii="Arial" w:eastAsia="Times New Roman" w:hAnsi="Arial" w:cs="Arial"/>
                <w:sz w:val="20"/>
                <w:szCs w:val="20"/>
                <w:lang w:eastAsia="en-AU"/>
              </w:rPr>
              <w:t>Middle Eastern</w:t>
            </w:r>
          </w:p>
          <w:p w14:paraId="1BAA3515" w14:textId="77777777" w:rsidR="00D64801" w:rsidRPr="00BA1B7B" w:rsidRDefault="00D64801" w:rsidP="004A22FD">
            <w:pPr>
              <w:numPr>
                <w:ilvl w:val="0"/>
                <w:numId w:val="35"/>
              </w:numPr>
              <w:rPr>
                <w:rFonts w:ascii="Arial" w:eastAsia="Times New Roman" w:hAnsi="Arial" w:cs="Arial"/>
                <w:sz w:val="20"/>
                <w:szCs w:val="20"/>
                <w:lang w:eastAsia="en-AU"/>
              </w:rPr>
            </w:pPr>
            <w:r w:rsidRPr="00BA1B7B">
              <w:rPr>
                <w:rFonts w:ascii="Arial" w:eastAsia="Times New Roman" w:hAnsi="Arial" w:cs="Arial"/>
                <w:sz w:val="20"/>
                <w:szCs w:val="20"/>
                <w:lang w:eastAsia="en-AU"/>
              </w:rPr>
              <w:t>Non-white African</w:t>
            </w:r>
          </w:p>
          <w:p w14:paraId="6BC32903"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lastRenderedPageBreak/>
              <w:t>BMI: 25-34.9 kg/m</w:t>
            </w:r>
            <w:r w:rsidRPr="00BA1B7B">
              <w:rPr>
                <w:rFonts w:ascii="Arial" w:eastAsia="Times New Roman" w:hAnsi="Arial" w:cs="Arial"/>
                <w:sz w:val="20"/>
                <w:szCs w:val="20"/>
                <w:vertAlign w:val="superscript"/>
                <w:lang w:eastAsia="en-AU"/>
              </w:rPr>
              <w:t>2</w:t>
            </w:r>
          </w:p>
          <w:p w14:paraId="390955BF" w14:textId="77777777" w:rsidR="00D64801" w:rsidRPr="00BA1B7B" w:rsidRDefault="00D64801" w:rsidP="00D64801">
            <w:pPr>
              <w:rPr>
                <w:rFonts w:ascii="Arial" w:eastAsia="Times New Roman" w:hAnsi="Arial" w:cs="Arial"/>
                <w:sz w:val="20"/>
                <w:szCs w:val="20"/>
                <w:lang w:eastAsia="en-AU"/>
              </w:rPr>
            </w:pPr>
          </w:p>
        </w:tc>
        <w:tc>
          <w:tcPr>
            <w:tcW w:w="2551" w:type="dxa"/>
          </w:tcPr>
          <w:p w14:paraId="362B4B64" w14:textId="77777777" w:rsidR="00D64801" w:rsidRPr="00BA1B7B" w:rsidRDefault="00D64801" w:rsidP="004A22FD">
            <w:pPr>
              <w:numPr>
                <w:ilvl w:val="0"/>
                <w:numId w:val="35"/>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lastRenderedPageBreak/>
              <w:t>Women lacking any of the high or moderate characteristics</w:t>
            </w:r>
          </w:p>
        </w:tc>
      </w:tr>
      <w:tr w:rsidR="00D64801" w:rsidRPr="00BA1B7B" w14:paraId="15735954" w14:textId="77777777" w:rsidTr="00D64801">
        <w:tc>
          <w:tcPr>
            <w:tcW w:w="3510" w:type="dxa"/>
          </w:tcPr>
          <w:p w14:paraId="084B5011" w14:textId="77777777" w:rsidR="00D64801" w:rsidRPr="00BA1B7B" w:rsidRDefault="00D64801" w:rsidP="00D64801">
            <w:pPr>
              <w:ind w:left="357"/>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One risk factor = </w:t>
            </w:r>
            <w:r w:rsidRPr="00BA1B7B">
              <w:rPr>
                <w:rFonts w:ascii="Arial" w:eastAsia="Times New Roman" w:hAnsi="Arial" w:cs="Arial"/>
                <w:b/>
                <w:sz w:val="20"/>
                <w:szCs w:val="20"/>
                <w:lang w:eastAsia="en-AU"/>
              </w:rPr>
              <w:t>HIGH</w:t>
            </w:r>
            <w:r w:rsidRPr="00BA1B7B">
              <w:rPr>
                <w:rFonts w:ascii="Arial" w:eastAsia="Times New Roman" w:hAnsi="Arial" w:cs="Arial"/>
                <w:sz w:val="20"/>
                <w:szCs w:val="20"/>
                <w:lang w:eastAsia="en-AU"/>
              </w:rPr>
              <w:t xml:space="preserve"> risk</w:t>
            </w:r>
          </w:p>
        </w:tc>
        <w:tc>
          <w:tcPr>
            <w:tcW w:w="4253" w:type="dxa"/>
          </w:tcPr>
          <w:p w14:paraId="4C4B4696" w14:textId="77777777" w:rsidR="00D64801" w:rsidRPr="00BA1B7B" w:rsidRDefault="00D64801" w:rsidP="004A22FD">
            <w:pPr>
              <w:numPr>
                <w:ilvl w:val="0"/>
                <w:numId w:val="36"/>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One moderate risk factor = </w:t>
            </w:r>
            <w:r w:rsidRPr="00BA1B7B">
              <w:rPr>
                <w:rFonts w:ascii="Arial" w:eastAsia="Times New Roman" w:hAnsi="Arial" w:cs="Arial"/>
                <w:b/>
                <w:sz w:val="20"/>
                <w:szCs w:val="20"/>
                <w:lang w:eastAsia="en-AU"/>
              </w:rPr>
              <w:t xml:space="preserve">MODERATE </w:t>
            </w:r>
            <w:r w:rsidRPr="00BA1B7B">
              <w:rPr>
                <w:rFonts w:ascii="Arial" w:eastAsia="Times New Roman" w:hAnsi="Arial" w:cs="Arial"/>
                <w:sz w:val="20"/>
                <w:szCs w:val="20"/>
                <w:lang w:eastAsia="en-AU"/>
              </w:rPr>
              <w:t>RISK</w:t>
            </w:r>
          </w:p>
          <w:p w14:paraId="7EDFBAFC" w14:textId="77777777" w:rsidR="00D64801" w:rsidRPr="00BA1B7B" w:rsidRDefault="00D64801" w:rsidP="004A22FD">
            <w:pPr>
              <w:numPr>
                <w:ilvl w:val="0"/>
                <w:numId w:val="36"/>
              </w:numPr>
              <w:ind w:left="357" w:hanging="357"/>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 2 moderate risk factor = </w:t>
            </w:r>
            <w:r w:rsidRPr="00BA1B7B">
              <w:rPr>
                <w:rFonts w:ascii="Arial" w:eastAsia="Times New Roman" w:hAnsi="Arial" w:cs="Arial"/>
                <w:b/>
                <w:sz w:val="20"/>
                <w:szCs w:val="20"/>
                <w:lang w:eastAsia="en-AU"/>
              </w:rPr>
              <w:t xml:space="preserve">HIGH </w:t>
            </w:r>
            <w:r w:rsidRPr="00BA1B7B">
              <w:rPr>
                <w:rFonts w:ascii="Arial" w:eastAsia="Times New Roman" w:hAnsi="Arial" w:cs="Arial"/>
                <w:sz w:val="20"/>
                <w:szCs w:val="20"/>
                <w:lang w:eastAsia="en-AU"/>
              </w:rPr>
              <w:t>risk</w:t>
            </w:r>
          </w:p>
        </w:tc>
        <w:tc>
          <w:tcPr>
            <w:tcW w:w="2551" w:type="dxa"/>
          </w:tcPr>
          <w:p w14:paraId="68155539" w14:textId="77777777" w:rsidR="00D64801" w:rsidRPr="00BA1B7B" w:rsidRDefault="00D64801" w:rsidP="00D64801">
            <w:pPr>
              <w:ind w:left="357"/>
              <w:rPr>
                <w:rFonts w:ascii="Arial" w:eastAsia="Times New Roman" w:hAnsi="Arial" w:cs="Arial"/>
                <w:sz w:val="20"/>
                <w:szCs w:val="20"/>
                <w:lang w:eastAsia="en-AU"/>
              </w:rPr>
            </w:pPr>
            <w:r w:rsidRPr="00BA1B7B">
              <w:rPr>
                <w:rFonts w:ascii="Arial" w:eastAsia="Times New Roman" w:hAnsi="Arial" w:cs="Arial"/>
                <w:b/>
                <w:sz w:val="20"/>
                <w:szCs w:val="20"/>
                <w:lang w:eastAsia="en-AU"/>
              </w:rPr>
              <w:t>LOW</w:t>
            </w:r>
            <w:r w:rsidRPr="00BA1B7B">
              <w:rPr>
                <w:rFonts w:ascii="Arial" w:eastAsia="Times New Roman" w:hAnsi="Arial" w:cs="Arial"/>
                <w:sz w:val="20"/>
                <w:szCs w:val="20"/>
                <w:lang w:eastAsia="en-AU"/>
              </w:rPr>
              <w:t xml:space="preserve"> risk</w:t>
            </w:r>
          </w:p>
        </w:tc>
      </w:tr>
      <w:tr w:rsidR="00D64801" w:rsidRPr="00BA1B7B" w14:paraId="1FBFB6EF" w14:textId="77777777" w:rsidTr="00D64801">
        <w:tc>
          <w:tcPr>
            <w:tcW w:w="10314" w:type="dxa"/>
            <w:gridSpan w:val="3"/>
          </w:tcPr>
          <w:p w14:paraId="0536BB65" w14:textId="77777777" w:rsidR="00D64801" w:rsidRPr="00BA1B7B" w:rsidRDefault="00D64801" w:rsidP="00D64801">
            <w:pPr>
              <w:ind w:left="357"/>
              <w:jc w:val="center"/>
              <w:rPr>
                <w:rFonts w:ascii="Arial" w:eastAsia="Times New Roman" w:hAnsi="Arial" w:cs="Arial"/>
                <w:sz w:val="20"/>
                <w:szCs w:val="20"/>
                <w:lang w:eastAsia="en-AU"/>
              </w:rPr>
            </w:pPr>
            <w:r w:rsidRPr="00BA1B7B">
              <w:rPr>
                <w:rFonts w:ascii="Arial" w:eastAsia="Times New Roman" w:hAnsi="Arial" w:cs="Arial"/>
                <w:sz w:val="20"/>
                <w:szCs w:val="20"/>
                <w:lang w:eastAsia="en-AU"/>
              </w:rPr>
              <w:t>See “</w:t>
            </w:r>
            <w:r w:rsidRPr="00BA1B7B">
              <w:rPr>
                <w:rFonts w:ascii="Arial" w:eastAsia="Times New Roman" w:hAnsi="Arial" w:cs="Arial"/>
                <w:b/>
                <w:sz w:val="20"/>
                <w:szCs w:val="20"/>
                <w:lang w:eastAsia="en-AU"/>
              </w:rPr>
              <w:t>Diagnosis and Management of GDM</w:t>
            </w:r>
            <w:r w:rsidRPr="00BA1B7B">
              <w:rPr>
                <w:rFonts w:ascii="Arial" w:eastAsia="Times New Roman" w:hAnsi="Arial" w:cs="Arial"/>
                <w:sz w:val="20"/>
                <w:szCs w:val="20"/>
                <w:lang w:eastAsia="en-AU"/>
              </w:rPr>
              <w:t>” below for action to be taken based on risk</w:t>
            </w:r>
          </w:p>
        </w:tc>
      </w:tr>
    </w:tbl>
    <w:p w14:paraId="18D9ACDE" w14:textId="77777777" w:rsidR="00D64801" w:rsidRPr="00BA1B7B" w:rsidRDefault="00D64801" w:rsidP="00D64801">
      <w:pPr>
        <w:rPr>
          <w:rFonts w:ascii="Arial" w:eastAsia="Times New Roman" w:hAnsi="Arial" w:cs="Arial"/>
          <w:sz w:val="20"/>
          <w:szCs w:val="20"/>
          <w:lang w:eastAsia="en-AU"/>
        </w:rPr>
      </w:pPr>
    </w:p>
    <w:p w14:paraId="71C98368" w14:textId="77777777" w:rsidR="00D64801" w:rsidRPr="00BA1B7B" w:rsidRDefault="00D64801" w:rsidP="00D64801">
      <w:pPr>
        <w:rPr>
          <w:rFonts w:ascii="Arial" w:eastAsia="Times New Roman" w:hAnsi="Arial" w:cs="Arial"/>
          <w:b/>
          <w:sz w:val="20"/>
          <w:szCs w:val="20"/>
          <w:lang w:eastAsia="en-AU"/>
        </w:rPr>
      </w:pPr>
    </w:p>
    <w:p w14:paraId="5AC326EA" w14:textId="77777777" w:rsidR="00D64801" w:rsidRPr="00BA1B7B" w:rsidRDefault="00D64801" w:rsidP="00D64801">
      <w:pPr>
        <w:rPr>
          <w:rFonts w:ascii="Arial" w:eastAsia="Times New Roman" w:hAnsi="Arial" w:cs="Arial"/>
          <w:sz w:val="20"/>
          <w:szCs w:val="20"/>
          <w:lang w:eastAsia="en-AU"/>
        </w:rPr>
      </w:pPr>
      <w:r w:rsidRPr="00BA1B7B">
        <w:rPr>
          <w:rFonts w:ascii="Arial" w:eastAsia="Times New Roman" w:hAnsi="Arial" w:cs="Arial"/>
          <w:b/>
          <w:sz w:val="20"/>
          <w:szCs w:val="20"/>
          <w:lang w:eastAsia="en-AU"/>
        </w:rPr>
        <w:t>Women at high risk for GDM</w:t>
      </w:r>
      <w:r w:rsidRPr="00BA1B7B">
        <w:rPr>
          <w:rFonts w:ascii="Arial" w:eastAsia="Times New Roman" w:hAnsi="Arial" w:cs="Arial"/>
          <w:sz w:val="20"/>
          <w:szCs w:val="20"/>
          <w:lang w:eastAsia="en-AU"/>
        </w:rPr>
        <w:t xml:space="preserve"> (One high risk factor or two moderate risk factors)</w:t>
      </w:r>
    </w:p>
    <w:p w14:paraId="0BB8BBD9" w14:textId="77777777" w:rsidR="00D64801" w:rsidRPr="00BA1B7B" w:rsidRDefault="00D64801" w:rsidP="004A22FD">
      <w:pPr>
        <w:numPr>
          <w:ilvl w:val="0"/>
          <w:numId w:val="36"/>
        </w:numPr>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OGTT early in pregnancy [ideally organized from 10-12 weeks]. If this test is negative, they will then have a repeat Oral glucose tolerance test (OGTT) at 26-28 weeks.  </w:t>
      </w:r>
    </w:p>
    <w:p w14:paraId="490B2955" w14:textId="77777777" w:rsidR="00D64801" w:rsidRPr="00BA1B7B" w:rsidRDefault="00D64801" w:rsidP="00D64801">
      <w:pPr>
        <w:ind w:left="360"/>
        <w:rPr>
          <w:rFonts w:ascii="Arial" w:eastAsia="Times New Roman" w:hAnsi="Arial" w:cs="Arial"/>
          <w:sz w:val="20"/>
          <w:szCs w:val="20"/>
          <w:lang w:eastAsia="en-AU"/>
        </w:rPr>
      </w:pPr>
    </w:p>
    <w:p w14:paraId="4C3D6FE1" w14:textId="77777777" w:rsidR="00D64801" w:rsidRPr="00BA1B7B" w:rsidRDefault="00D64801" w:rsidP="00D64801">
      <w:pPr>
        <w:ind w:left="45"/>
        <w:rPr>
          <w:rFonts w:ascii="Arial" w:eastAsia="Times New Roman" w:hAnsi="Arial" w:cs="Arial"/>
          <w:sz w:val="20"/>
          <w:szCs w:val="20"/>
          <w:lang w:eastAsia="en-AU"/>
        </w:rPr>
      </w:pPr>
      <w:r w:rsidRPr="00BA1B7B">
        <w:rPr>
          <w:rFonts w:ascii="Arial" w:eastAsia="Times New Roman" w:hAnsi="Arial" w:cs="Arial"/>
          <w:b/>
          <w:sz w:val="20"/>
          <w:szCs w:val="20"/>
          <w:lang w:eastAsia="en-AU"/>
        </w:rPr>
        <w:t>Women at Moderate risk for GDM</w:t>
      </w:r>
      <w:r w:rsidRPr="00BA1B7B">
        <w:rPr>
          <w:rFonts w:ascii="Arial" w:eastAsia="Times New Roman" w:hAnsi="Arial" w:cs="Arial"/>
          <w:sz w:val="20"/>
          <w:szCs w:val="20"/>
          <w:lang w:eastAsia="en-AU"/>
        </w:rPr>
        <w:t xml:space="preserve"> (one moderate risk factor only)</w:t>
      </w:r>
    </w:p>
    <w:p w14:paraId="6BF9E7F2" w14:textId="77777777" w:rsidR="00D64801" w:rsidRPr="00BA1B7B" w:rsidRDefault="00D64801" w:rsidP="004A22FD">
      <w:pPr>
        <w:numPr>
          <w:ilvl w:val="0"/>
          <w:numId w:val="36"/>
        </w:numPr>
        <w:rPr>
          <w:rFonts w:ascii="Arial" w:eastAsia="Times New Roman" w:hAnsi="Arial" w:cs="Arial"/>
          <w:sz w:val="20"/>
          <w:szCs w:val="20"/>
          <w:lang w:eastAsia="en-AU"/>
        </w:rPr>
      </w:pPr>
      <w:r w:rsidRPr="00BA1B7B">
        <w:rPr>
          <w:rFonts w:ascii="Arial" w:eastAsia="Times New Roman" w:hAnsi="Arial" w:cs="Arial"/>
          <w:sz w:val="20"/>
          <w:szCs w:val="20"/>
          <w:lang w:eastAsia="en-AU"/>
        </w:rPr>
        <w:t>Should have fasting with booking investigations. If fasting BGL ≥ 5.1 a diagnosis of GDM has been made.</w:t>
      </w:r>
    </w:p>
    <w:p w14:paraId="6D442D9E" w14:textId="77777777" w:rsidR="00D64801" w:rsidRPr="00BA1B7B" w:rsidRDefault="00D64801" w:rsidP="004A22FD">
      <w:pPr>
        <w:numPr>
          <w:ilvl w:val="0"/>
          <w:numId w:val="36"/>
        </w:numPr>
        <w:rPr>
          <w:rFonts w:ascii="Arial" w:eastAsia="Times New Roman" w:hAnsi="Arial" w:cs="Arial"/>
          <w:sz w:val="20"/>
          <w:szCs w:val="20"/>
          <w:lang w:eastAsia="en-AU"/>
        </w:rPr>
      </w:pPr>
      <w:r w:rsidRPr="00BA1B7B">
        <w:rPr>
          <w:rFonts w:ascii="Arial" w:eastAsia="Times New Roman" w:hAnsi="Arial" w:cs="Arial"/>
          <w:sz w:val="20"/>
          <w:szCs w:val="20"/>
          <w:lang w:eastAsia="en-AU"/>
        </w:rPr>
        <w:t>If initial OGTT or FBG is negative, this OGTT should still be repeated at 26-28 weeks</w:t>
      </w:r>
    </w:p>
    <w:p w14:paraId="6B96E63B" w14:textId="77777777" w:rsidR="00D64801" w:rsidRPr="00BA1B7B" w:rsidRDefault="00D64801" w:rsidP="00D64801">
      <w:pPr>
        <w:ind w:left="360"/>
        <w:rPr>
          <w:rFonts w:ascii="Arial" w:eastAsia="Times New Roman" w:hAnsi="Arial" w:cs="Arial"/>
          <w:sz w:val="20"/>
          <w:szCs w:val="20"/>
          <w:lang w:eastAsia="en-AU"/>
        </w:rPr>
      </w:pPr>
    </w:p>
    <w:p w14:paraId="170B4B90" w14:textId="77777777" w:rsidR="00D64801" w:rsidRPr="00BA1B7B" w:rsidRDefault="00D64801" w:rsidP="00D64801">
      <w:pPr>
        <w:ind w:left="45"/>
        <w:rPr>
          <w:rFonts w:ascii="Arial" w:eastAsia="Times New Roman" w:hAnsi="Arial" w:cs="Arial"/>
          <w:b/>
          <w:sz w:val="20"/>
          <w:szCs w:val="20"/>
          <w:lang w:eastAsia="en-AU"/>
        </w:rPr>
      </w:pPr>
      <w:r w:rsidRPr="00BA1B7B">
        <w:rPr>
          <w:rFonts w:ascii="Arial" w:eastAsia="Times New Roman" w:hAnsi="Arial" w:cs="Arial"/>
          <w:b/>
          <w:sz w:val="20"/>
          <w:szCs w:val="20"/>
          <w:lang w:eastAsia="en-AU"/>
        </w:rPr>
        <w:t xml:space="preserve">Women at low risk for GDM </w:t>
      </w:r>
    </w:p>
    <w:p w14:paraId="275E9CF8" w14:textId="77777777" w:rsidR="00D64801" w:rsidRPr="00BA1B7B" w:rsidRDefault="00D64801" w:rsidP="004A22FD">
      <w:pPr>
        <w:numPr>
          <w:ilvl w:val="0"/>
          <w:numId w:val="34"/>
        </w:numPr>
        <w:rPr>
          <w:rFonts w:ascii="Arial" w:eastAsia="Times New Roman" w:hAnsi="Arial" w:cs="Arial"/>
          <w:sz w:val="20"/>
          <w:szCs w:val="20"/>
          <w:lang w:eastAsia="en-AU"/>
        </w:rPr>
      </w:pPr>
      <w:r w:rsidRPr="00BA1B7B">
        <w:rPr>
          <w:rFonts w:ascii="Arial" w:eastAsia="Times New Roman" w:hAnsi="Arial" w:cs="Arial"/>
          <w:sz w:val="20"/>
          <w:szCs w:val="20"/>
          <w:lang w:eastAsia="en-AU"/>
        </w:rPr>
        <w:t>It is recommended all women should have a screening OGTT between 26 and 28 weeks gestation. </w:t>
      </w:r>
    </w:p>
    <w:p w14:paraId="73B89EC5" w14:textId="77777777" w:rsidR="00D64801" w:rsidRPr="00BA1B7B" w:rsidRDefault="00D64801" w:rsidP="004A22FD">
      <w:pPr>
        <w:numPr>
          <w:ilvl w:val="0"/>
          <w:numId w:val="34"/>
        </w:numPr>
        <w:rPr>
          <w:rFonts w:ascii="Arial" w:eastAsia="Times New Roman" w:hAnsi="Arial" w:cs="Arial"/>
          <w:sz w:val="20"/>
          <w:szCs w:val="20"/>
          <w:lang w:eastAsia="en-AU"/>
        </w:rPr>
      </w:pPr>
      <w:r w:rsidRPr="00BA1B7B">
        <w:rPr>
          <w:rFonts w:ascii="Arial" w:eastAsia="Times New Roman" w:hAnsi="Arial" w:cs="Arial"/>
          <w:sz w:val="20"/>
          <w:szCs w:val="20"/>
          <w:lang w:eastAsia="en-AU"/>
        </w:rPr>
        <w:t>Women should be encouraged to maintain their normal diet prior to the test.</w:t>
      </w:r>
    </w:p>
    <w:p w14:paraId="0CAFF31D" w14:textId="77777777" w:rsidR="00D64801" w:rsidRPr="00BA1B7B" w:rsidRDefault="00D64801" w:rsidP="00D64801">
      <w:pPr>
        <w:ind w:left="405"/>
        <w:rPr>
          <w:rFonts w:ascii="Arial" w:eastAsia="Times New Roman" w:hAnsi="Arial" w:cs="Arial"/>
          <w:sz w:val="20"/>
          <w:szCs w:val="20"/>
          <w:lang w:eastAsia="en-AU"/>
        </w:rPr>
      </w:pPr>
    </w:p>
    <w:p w14:paraId="550E69A3" w14:textId="77777777" w:rsidR="00D64801" w:rsidRPr="00BA1B7B" w:rsidRDefault="00D64801" w:rsidP="00D64801">
      <w:pPr>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Practice Point – It is preferred that women have the OGTT at an Eastern Health Pathology site. Due to diagnostic criteria variability between services and potential delayed follow up of abnormal results, testing at an Eastern Health site enables prompt follow up by the Endocrine team at Eastern Health. </w:t>
      </w:r>
    </w:p>
    <w:p w14:paraId="24F784B5" w14:textId="77777777" w:rsidR="00D64801" w:rsidRPr="00BA1B7B" w:rsidRDefault="00D64801" w:rsidP="00D64801">
      <w:pPr>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Information available at: </w:t>
      </w:r>
      <w:hyperlink r:id="rId136" w:history="1">
        <w:r w:rsidRPr="00BA1B7B">
          <w:rPr>
            <w:rFonts w:ascii="Arial" w:hAnsi="Arial" w:cs="Arial"/>
            <w:sz w:val="20"/>
            <w:szCs w:val="20"/>
            <w:u w:val="single"/>
          </w:rPr>
          <w:t>https://www.easternhealth.org.au/services/pathology/medical-professionals</w:t>
        </w:r>
      </w:hyperlink>
    </w:p>
    <w:p w14:paraId="46AADC36" w14:textId="77777777" w:rsidR="00D64801" w:rsidRPr="00BA1B7B" w:rsidRDefault="00D64801" w:rsidP="00D64801">
      <w:pPr>
        <w:rPr>
          <w:rFonts w:ascii="Arial" w:eastAsia="Times New Roman" w:hAnsi="Arial" w:cs="Arial"/>
          <w:sz w:val="20"/>
          <w:szCs w:val="20"/>
          <w:lang w:eastAsia="en-AU"/>
        </w:rPr>
      </w:pPr>
    </w:p>
    <w:p w14:paraId="23CECFE5" w14:textId="77777777" w:rsidR="00D64801" w:rsidRPr="00BA1B7B" w:rsidRDefault="00D64801" w:rsidP="00D64801">
      <w:pPr>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Glycosuria – Any woman presenting with persistent glycosuria prior to 24 weeks should be sent for an earlier OGTT. </w:t>
      </w:r>
    </w:p>
    <w:p w14:paraId="500A5A95" w14:textId="77777777" w:rsidR="00D64801" w:rsidRPr="00BA1B7B" w:rsidRDefault="00D64801" w:rsidP="00D64801">
      <w:pPr>
        <w:rPr>
          <w:rFonts w:ascii="Arial" w:eastAsia="Times New Roman" w:hAnsi="Arial" w:cs="Arial"/>
          <w:sz w:val="20"/>
          <w:szCs w:val="20"/>
          <w:lang w:eastAsia="en-AU"/>
        </w:rPr>
      </w:pPr>
    </w:p>
    <w:p w14:paraId="3841F087" w14:textId="77777777" w:rsidR="00D64801" w:rsidRPr="00BA1B7B" w:rsidRDefault="00D64801" w:rsidP="00D64801">
      <w:pPr>
        <w:rPr>
          <w:rFonts w:ascii="Arial" w:eastAsia="Times New Roman" w:hAnsi="Arial" w:cs="Arial"/>
          <w:b/>
          <w:bCs/>
          <w:sz w:val="20"/>
          <w:szCs w:val="20"/>
          <w:lang w:eastAsia="en-AU"/>
        </w:rPr>
      </w:pPr>
      <w:r w:rsidRPr="00BA1B7B">
        <w:rPr>
          <w:rFonts w:ascii="Arial" w:eastAsia="Times New Roman" w:hAnsi="Arial" w:cs="Arial"/>
          <w:b/>
          <w:bCs/>
          <w:sz w:val="20"/>
          <w:szCs w:val="20"/>
          <w:lang w:eastAsia="en-AU"/>
        </w:rPr>
        <w:t xml:space="preserve">Diagnosis of Gestational Diabetes: </w:t>
      </w:r>
    </w:p>
    <w:p w14:paraId="54B5422F" w14:textId="77777777" w:rsidR="00D64801" w:rsidRPr="00BA1B7B" w:rsidRDefault="00D64801" w:rsidP="00D64801">
      <w:pPr>
        <w:ind w:left="405"/>
        <w:rPr>
          <w:rFonts w:ascii="Arial" w:eastAsia="Times New Roman" w:hAnsi="Arial" w:cs="Arial"/>
          <w:sz w:val="20"/>
          <w:szCs w:val="20"/>
          <w:lang w:eastAsia="en-AU"/>
        </w:rPr>
      </w:pPr>
    </w:p>
    <w:p w14:paraId="48B8E86E" w14:textId="77777777" w:rsidR="00D64801" w:rsidRPr="00BA1B7B" w:rsidRDefault="00D64801" w:rsidP="00D64801">
      <w:pPr>
        <w:rPr>
          <w:rFonts w:ascii="Arial" w:eastAsia="Times New Roman" w:hAnsi="Arial" w:cs="Arial"/>
          <w:sz w:val="20"/>
          <w:szCs w:val="20"/>
          <w:lang w:eastAsia="en-AU"/>
        </w:rPr>
      </w:pPr>
      <w:r w:rsidRPr="00BA1B7B">
        <w:rPr>
          <w:rFonts w:ascii="Arial" w:eastAsia="Times New Roman" w:hAnsi="Arial" w:cs="Arial"/>
          <w:sz w:val="20"/>
          <w:szCs w:val="20"/>
          <w:lang w:eastAsia="en-AU"/>
        </w:rPr>
        <w:t>All 75 g OGTT results, regardless of gestation, will be judged by the following criteria:</w:t>
      </w:r>
    </w:p>
    <w:p w14:paraId="78B99841" w14:textId="77777777" w:rsidR="00D64801" w:rsidRPr="00BA1B7B" w:rsidRDefault="00D64801" w:rsidP="00D64801">
      <w:pPr>
        <w:rPr>
          <w:rFonts w:ascii="Arial" w:eastAsia="Times New Roman" w:hAnsi="Arial" w:cs="Arial"/>
          <w:sz w:val="20"/>
          <w:szCs w:val="20"/>
          <w:lang w:eastAsia="en-AU"/>
        </w:rPr>
      </w:pPr>
      <w:bookmarkStart w:id="74" w:name="_Hlk47096574"/>
      <w:r w:rsidRPr="00BA1B7B">
        <w:rPr>
          <w:rFonts w:ascii="Arial" w:eastAsia="Times New Roman" w:hAnsi="Arial" w:cs="Arial"/>
          <w:sz w:val="20"/>
          <w:szCs w:val="20"/>
          <w:lang w:eastAsia="en-AU"/>
        </w:rPr>
        <w:t xml:space="preserve">A diagnosis of GDM is made if </w:t>
      </w:r>
      <w:r w:rsidRPr="00BA1B7B">
        <w:rPr>
          <w:rFonts w:ascii="Arial" w:eastAsia="Times New Roman" w:hAnsi="Arial" w:cs="Arial"/>
          <w:b/>
          <w:bCs/>
          <w:sz w:val="20"/>
          <w:szCs w:val="20"/>
          <w:lang w:eastAsia="en-AU"/>
        </w:rPr>
        <w:t>one or more</w:t>
      </w:r>
      <w:r w:rsidRPr="00BA1B7B">
        <w:rPr>
          <w:rFonts w:ascii="Arial" w:eastAsia="Times New Roman" w:hAnsi="Arial" w:cs="Arial"/>
          <w:sz w:val="20"/>
          <w:szCs w:val="20"/>
          <w:lang w:eastAsia="en-AU"/>
        </w:rPr>
        <w:t xml:space="preserve"> of the following glucose levels are elevated</w:t>
      </w:r>
      <w:r w:rsidRPr="00BA1B7B" w:rsidDel="00684D3C">
        <w:rPr>
          <w:rFonts w:ascii="Arial" w:eastAsia="Times New Roman" w:hAnsi="Arial" w:cs="Arial"/>
          <w:b/>
          <w:sz w:val="20"/>
          <w:szCs w:val="20"/>
          <w:lang w:eastAsia="en-AU"/>
        </w:rPr>
        <w:t xml:space="preserve"> </w:t>
      </w:r>
      <w:r w:rsidRPr="00BA1B7B">
        <w:rPr>
          <w:rFonts w:ascii="Arial" w:eastAsia="Times New Roman" w:hAnsi="Arial" w:cs="Arial"/>
          <w:b/>
          <w:sz w:val="20"/>
          <w:szCs w:val="20"/>
          <w:lang w:eastAsia="en-AU"/>
        </w:rPr>
        <w:t xml:space="preserve"> </w:t>
      </w:r>
    </w:p>
    <w:p w14:paraId="0312DCB8" w14:textId="77777777" w:rsidR="00D64801" w:rsidRPr="00BA1B7B" w:rsidRDefault="00D64801" w:rsidP="00D64801">
      <w:pPr>
        <w:ind w:left="405"/>
        <w:rPr>
          <w:rFonts w:ascii="Arial" w:eastAsia="Times New Roman" w:hAnsi="Arial" w:cs="Arial"/>
          <w:sz w:val="20"/>
          <w:szCs w:val="20"/>
          <w:lang w:eastAsia="en-AU"/>
        </w:rPr>
      </w:pPr>
    </w:p>
    <w:p w14:paraId="05AA2FED" w14:textId="77777777" w:rsidR="00D64801" w:rsidRPr="00BA1B7B" w:rsidRDefault="00D64801" w:rsidP="00D64801">
      <w:pPr>
        <w:ind w:left="405"/>
        <w:jc w:val="center"/>
        <w:rPr>
          <w:rFonts w:ascii="Arial" w:eastAsia="Times New Roman" w:hAnsi="Arial" w:cs="Arial"/>
          <w:b/>
          <w:sz w:val="20"/>
          <w:szCs w:val="20"/>
          <w:lang w:eastAsia="en-AU"/>
        </w:rPr>
      </w:pPr>
      <w:r w:rsidRPr="00BA1B7B">
        <w:rPr>
          <w:rFonts w:ascii="Arial" w:eastAsia="Times New Roman" w:hAnsi="Arial" w:cs="Arial"/>
          <w:b/>
          <w:sz w:val="20"/>
          <w:szCs w:val="20"/>
          <w:lang w:eastAsia="en-AU"/>
        </w:rPr>
        <w:t xml:space="preserve">Fasting glucose </w:t>
      </w:r>
      <w:r w:rsidRPr="00BA1B7B">
        <w:rPr>
          <w:rFonts w:ascii="Arial" w:eastAsia="Times New Roman" w:hAnsi="Arial" w:cs="Arial"/>
          <w:b/>
          <w:sz w:val="20"/>
          <w:szCs w:val="20"/>
          <w:lang w:eastAsia="en-AU"/>
        </w:rPr>
        <w:tab/>
        <w:t>≥ 5.1 mmol/L</w:t>
      </w:r>
    </w:p>
    <w:p w14:paraId="6CFD4999" w14:textId="77777777" w:rsidR="00D64801" w:rsidRPr="00BA1B7B" w:rsidRDefault="00D64801" w:rsidP="00D64801">
      <w:pPr>
        <w:ind w:left="405"/>
        <w:jc w:val="center"/>
        <w:rPr>
          <w:rFonts w:ascii="Arial" w:eastAsia="Times New Roman" w:hAnsi="Arial" w:cs="Arial"/>
          <w:b/>
          <w:sz w:val="20"/>
          <w:szCs w:val="20"/>
          <w:lang w:eastAsia="en-AU"/>
        </w:rPr>
      </w:pPr>
      <w:r w:rsidRPr="00BA1B7B">
        <w:rPr>
          <w:rFonts w:ascii="Arial" w:eastAsia="Times New Roman" w:hAnsi="Arial" w:cs="Arial"/>
          <w:b/>
          <w:sz w:val="20"/>
          <w:szCs w:val="20"/>
          <w:lang w:eastAsia="en-AU"/>
        </w:rPr>
        <w:t xml:space="preserve"> 1-hr glucose </w:t>
      </w:r>
      <w:r w:rsidRPr="00BA1B7B">
        <w:rPr>
          <w:rFonts w:ascii="Arial" w:eastAsia="Times New Roman" w:hAnsi="Arial" w:cs="Arial"/>
          <w:b/>
          <w:sz w:val="20"/>
          <w:szCs w:val="20"/>
          <w:lang w:eastAsia="en-AU"/>
        </w:rPr>
        <w:tab/>
        <w:t>≥ 10.0 mmol/L</w:t>
      </w:r>
    </w:p>
    <w:p w14:paraId="4BFD73C0" w14:textId="77777777" w:rsidR="00D64801" w:rsidRPr="00BA1B7B" w:rsidRDefault="00D64801" w:rsidP="00D64801">
      <w:pPr>
        <w:ind w:left="405"/>
        <w:jc w:val="center"/>
        <w:rPr>
          <w:rFonts w:ascii="Arial" w:eastAsia="Times New Roman" w:hAnsi="Arial" w:cs="Arial"/>
          <w:b/>
          <w:sz w:val="20"/>
          <w:szCs w:val="20"/>
          <w:lang w:eastAsia="en-AU"/>
        </w:rPr>
      </w:pPr>
      <w:r w:rsidRPr="00BA1B7B">
        <w:rPr>
          <w:rFonts w:ascii="Arial" w:eastAsia="Times New Roman" w:hAnsi="Arial" w:cs="Arial"/>
          <w:b/>
          <w:sz w:val="20"/>
          <w:szCs w:val="20"/>
          <w:lang w:eastAsia="en-AU"/>
        </w:rPr>
        <w:t xml:space="preserve">2-hr glucose </w:t>
      </w:r>
      <w:r w:rsidRPr="00BA1B7B">
        <w:rPr>
          <w:rFonts w:ascii="Arial" w:eastAsia="Times New Roman" w:hAnsi="Arial" w:cs="Arial"/>
          <w:b/>
          <w:sz w:val="20"/>
          <w:szCs w:val="20"/>
          <w:lang w:eastAsia="en-AU"/>
        </w:rPr>
        <w:tab/>
        <w:t>≥ 8.5 mmol/L</w:t>
      </w:r>
    </w:p>
    <w:bookmarkEnd w:id="74"/>
    <w:p w14:paraId="554E5D26" w14:textId="77777777" w:rsidR="00D64801" w:rsidRPr="00BA1B7B" w:rsidRDefault="00D64801" w:rsidP="00D64801">
      <w:pPr>
        <w:ind w:left="405"/>
        <w:rPr>
          <w:rFonts w:ascii="Arial" w:eastAsia="Times New Roman" w:hAnsi="Arial" w:cs="Arial"/>
          <w:b/>
          <w:sz w:val="20"/>
          <w:szCs w:val="20"/>
          <w:lang w:eastAsia="en-AU"/>
        </w:rPr>
      </w:pPr>
    </w:p>
    <w:p w14:paraId="3A5850D3" w14:textId="77777777" w:rsidR="00D64801" w:rsidRPr="00BA1B7B" w:rsidRDefault="00D64801" w:rsidP="00D64801">
      <w:pPr>
        <w:rPr>
          <w:rFonts w:ascii="Arial" w:hAnsi="Arial" w:cs="Arial"/>
          <w:sz w:val="20"/>
          <w:szCs w:val="20"/>
        </w:rPr>
      </w:pPr>
    </w:p>
    <w:p w14:paraId="69217635" w14:textId="77777777" w:rsidR="00D64801" w:rsidRPr="00BA1B7B" w:rsidRDefault="00D64801" w:rsidP="00D64801">
      <w:pPr>
        <w:rPr>
          <w:rFonts w:ascii="Arial" w:eastAsia="Times New Roman" w:hAnsi="Arial" w:cs="Arial"/>
          <w:sz w:val="20"/>
          <w:szCs w:val="20"/>
          <w:lang w:eastAsia="en-AU"/>
        </w:rPr>
      </w:pPr>
      <w:r w:rsidRPr="00BA1B7B">
        <w:rPr>
          <w:rFonts w:ascii="Arial" w:eastAsia="Times New Roman" w:hAnsi="Arial" w:cs="Arial"/>
          <w:sz w:val="20"/>
          <w:szCs w:val="20"/>
          <w:lang w:eastAsia="en-AU"/>
        </w:rPr>
        <w:t xml:space="preserve">The responsibility is with the clinician ordering bloods to follow up results and provide a copy of results to Eastern Health. It is imperative that routine pathology is obtained prior to scheduled hospital appointment with a midwife at 28 weeks and referral to Eastern Health diabetes educator completed. </w:t>
      </w:r>
    </w:p>
    <w:p w14:paraId="43C0BB00" w14:textId="77777777" w:rsidR="00D64801" w:rsidRPr="00BA1B7B" w:rsidRDefault="00D64801" w:rsidP="00D64801">
      <w:pPr>
        <w:rPr>
          <w:rFonts w:ascii="Arial" w:eastAsia="Times New Roman" w:hAnsi="Arial" w:cs="Arial"/>
          <w:sz w:val="20"/>
          <w:szCs w:val="20"/>
          <w:lang w:eastAsia="en-AU"/>
        </w:rPr>
      </w:pPr>
    </w:p>
    <w:p w14:paraId="53D2D07B" w14:textId="5F66F6AE" w:rsidR="00D64801" w:rsidRPr="00BA1B7B" w:rsidRDefault="00D64801" w:rsidP="00D64801">
      <w:pPr>
        <w:jc w:val="center"/>
        <w:rPr>
          <w:rFonts w:ascii="Arial" w:hAnsi="Arial" w:cs="Arial"/>
          <w:sz w:val="20"/>
          <w:szCs w:val="20"/>
        </w:rPr>
      </w:pPr>
      <w:r w:rsidRPr="00BA1B7B">
        <w:rPr>
          <w:rFonts w:ascii="Arial" w:eastAsia="Times New Roman" w:hAnsi="Arial" w:cs="Arial"/>
          <w:b/>
          <w:bCs/>
          <w:sz w:val="20"/>
          <w:szCs w:val="20"/>
          <w:lang w:eastAsia="en-AU"/>
        </w:rPr>
        <w:t>GP’s who wish to refer women identified as GDM after 28 weeks must call the ante-natal clinic</w:t>
      </w:r>
      <w:r w:rsidR="001D2555" w:rsidRPr="00BA1B7B">
        <w:rPr>
          <w:rFonts w:ascii="Arial" w:eastAsia="Times New Roman" w:hAnsi="Arial" w:cs="Arial"/>
          <w:b/>
          <w:bCs/>
          <w:sz w:val="20"/>
          <w:szCs w:val="20"/>
          <w:lang w:eastAsia="en-AU"/>
        </w:rPr>
        <w:t xml:space="preserve"> </w:t>
      </w:r>
      <w:r w:rsidRPr="00BA1B7B">
        <w:rPr>
          <w:rFonts w:ascii="Arial" w:eastAsia="Times New Roman" w:hAnsi="Arial" w:cs="Arial"/>
          <w:b/>
          <w:bCs/>
          <w:sz w:val="20"/>
          <w:szCs w:val="20"/>
          <w:lang w:eastAsia="en-AU"/>
        </w:rPr>
        <w:t>and discuss referral details with a the AMUM of the relevant hospital.</w:t>
      </w:r>
    </w:p>
    <w:p w14:paraId="5994E496" w14:textId="77777777" w:rsidR="00D64801" w:rsidRPr="00BA1B7B" w:rsidRDefault="00D64801" w:rsidP="00D64801">
      <w:pPr>
        <w:rPr>
          <w:rFonts w:ascii="Arial" w:hAnsi="Arial" w:cs="Arial"/>
          <w:b/>
          <w:sz w:val="20"/>
          <w:szCs w:val="20"/>
        </w:rPr>
      </w:pPr>
    </w:p>
    <w:p w14:paraId="4A6DCBA2" w14:textId="77777777" w:rsidR="007A499C" w:rsidRPr="00BA1B7B" w:rsidRDefault="007A499C" w:rsidP="00D64801">
      <w:pPr>
        <w:rPr>
          <w:rFonts w:ascii="Arial" w:hAnsi="Arial" w:cs="Arial"/>
          <w:b/>
          <w:sz w:val="20"/>
          <w:szCs w:val="20"/>
        </w:rPr>
      </w:pPr>
    </w:p>
    <w:p w14:paraId="7301D276" w14:textId="77777777" w:rsidR="007A499C" w:rsidRPr="00BA1B7B" w:rsidRDefault="007A499C" w:rsidP="00D64801">
      <w:pPr>
        <w:rPr>
          <w:rFonts w:ascii="Arial" w:hAnsi="Arial" w:cs="Arial"/>
          <w:b/>
          <w:sz w:val="20"/>
          <w:szCs w:val="20"/>
        </w:rPr>
      </w:pPr>
    </w:p>
    <w:p w14:paraId="40122988" w14:textId="37026C4F" w:rsidR="00D64801" w:rsidRPr="00BA1B7B" w:rsidRDefault="00D64801" w:rsidP="00D64801">
      <w:pPr>
        <w:rPr>
          <w:rFonts w:ascii="Arial" w:hAnsi="Arial" w:cs="Arial"/>
          <w:b/>
          <w:sz w:val="20"/>
          <w:szCs w:val="20"/>
        </w:rPr>
      </w:pPr>
      <w:r w:rsidRPr="00BA1B7B">
        <w:rPr>
          <w:rFonts w:ascii="Arial" w:hAnsi="Arial" w:cs="Arial"/>
          <w:b/>
          <w:sz w:val="20"/>
          <w:szCs w:val="20"/>
        </w:rPr>
        <w:t>Management of GDM:</w:t>
      </w:r>
    </w:p>
    <w:p w14:paraId="5A797F4A" w14:textId="77777777" w:rsidR="0002578A" w:rsidRPr="00BA1B7B" w:rsidRDefault="0002578A" w:rsidP="00D64801">
      <w:pPr>
        <w:rPr>
          <w:rFonts w:ascii="Arial" w:hAnsi="Arial" w:cs="Arial"/>
          <w:b/>
          <w:sz w:val="20"/>
          <w:szCs w:val="20"/>
        </w:rPr>
      </w:pPr>
    </w:p>
    <w:p w14:paraId="13D0147C" w14:textId="77777777" w:rsidR="00D64801" w:rsidRPr="00BA1B7B" w:rsidRDefault="00D64801" w:rsidP="00D64801">
      <w:pPr>
        <w:rPr>
          <w:rFonts w:ascii="Arial" w:hAnsi="Arial" w:cs="Arial"/>
          <w:sz w:val="20"/>
          <w:szCs w:val="20"/>
        </w:rPr>
      </w:pPr>
      <w:r w:rsidRPr="00BA1B7B">
        <w:rPr>
          <w:rFonts w:ascii="Arial" w:hAnsi="Arial" w:cs="Arial"/>
          <w:sz w:val="20"/>
          <w:szCs w:val="20"/>
        </w:rPr>
        <w:t xml:space="preserve">Following a positive result of GDM and referral to the diabetes educators, women will be contacted within 1 week by Eastern Health to organize attendance to a GDM information session. </w:t>
      </w:r>
    </w:p>
    <w:p w14:paraId="30AE96DD" w14:textId="77777777" w:rsidR="00D64801" w:rsidRPr="00BA1B7B" w:rsidRDefault="00D64801" w:rsidP="00D64801">
      <w:pPr>
        <w:rPr>
          <w:rFonts w:ascii="Arial" w:hAnsi="Arial" w:cs="Arial"/>
          <w:sz w:val="20"/>
          <w:szCs w:val="20"/>
        </w:rPr>
      </w:pPr>
      <w:r w:rsidRPr="00BA1B7B">
        <w:rPr>
          <w:rFonts w:ascii="Arial" w:hAnsi="Arial" w:cs="Arial"/>
          <w:sz w:val="20"/>
          <w:szCs w:val="20"/>
        </w:rPr>
        <w:t xml:space="preserve">In this session, women will receive education on GDM, the risks of poorly controlled GDM, the implications post pregnancy, and are given culturally appropriate advice in regards to maintaining a balanced healthy diet and exercise regime. Women will also receive the education and equipment required for at home blood glucose monitoring. </w:t>
      </w:r>
    </w:p>
    <w:p w14:paraId="34DE7081" w14:textId="77777777" w:rsidR="00D64801" w:rsidRPr="00BA1B7B" w:rsidRDefault="00D64801" w:rsidP="00D64801">
      <w:pPr>
        <w:rPr>
          <w:rFonts w:ascii="Arial" w:hAnsi="Arial" w:cs="Arial"/>
          <w:sz w:val="20"/>
          <w:szCs w:val="20"/>
        </w:rPr>
      </w:pPr>
      <w:r w:rsidRPr="00BA1B7B">
        <w:rPr>
          <w:rFonts w:ascii="Arial" w:hAnsi="Arial" w:cs="Arial"/>
          <w:sz w:val="20"/>
          <w:szCs w:val="20"/>
        </w:rPr>
        <w:t xml:space="preserve">Women are instructed to test their blood sugars daily, fasted and then 2 hours post prandial. </w:t>
      </w:r>
    </w:p>
    <w:p w14:paraId="548EE4FF" w14:textId="77777777" w:rsidR="00D64801" w:rsidRPr="00BA1B7B" w:rsidRDefault="00D64801" w:rsidP="00D64801">
      <w:pPr>
        <w:autoSpaceDE w:val="0"/>
        <w:autoSpaceDN w:val="0"/>
        <w:adjustRightInd w:val="0"/>
        <w:spacing w:before="100" w:after="100"/>
        <w:jc w:val="center"/>
        <w:rPr>
          <w:rFonts w:ascii="Arial" w:hAnsi="Arial" w:cs="Arial"/>
          <w:b/>
          <w:bCs/>
          <w:sz w:val="20"/>
          <w:szCs w:val="20"/>
        </w:rPr>
      </w:pPr>
      <w:r w:rsidRPr="00BA1B7B">
        <w:rPr>
          <w:rFonts w:ascii="Arial" w:hAnsi="Arial" w:cs="Arial"/>
          <w:b/>
          <w:bCs/>
          <w:sz w:val="20"/>
          <w:szCs w:val="20"/>
        </w:rPr>
        <w:t>Target blood glucose levels are:</w:t>
      </w:r>
    </w:p>
    <w:p w14:paraId="08F3E634" w14:textId="77777777" w:rsidR="00D64801" w:rsidRPr="00BA1B7B" w:rsidRDefault="00D64801" w:rsidP="00D64801">
      <w:pPr>
        <w:autoSpaceDE w:val="0"/>
        <w:autoSpaceDN w:val="0"/>
        <w:adjustRightInd w:val="0"/>
        <w:spacing w:before="100" w:after="100"/>
        <w:jc w:val="center"/>
        <w:rPr>
          <w:rFonts w:ascii="Arial" w:hAnsi="Arial" w:cs="Arial"/>
          <w:b/>
          <w:bCs/>
          <w:sz w:val="20"/>
          <w:szCs w:val="20"/>
        </w:rPr>
      </w:pPr>
      <w:r w:rsidRPr="00BA1B7B">
        <w:rPr>
          <w:rFonts w:ascii="Arial" w:hAnsi="Arial" w:cs="Arial"/>
          <w:b/>
          <w:bCs/>
          <w:sz w:val="20"/>
          <w:szCs w:val="20"/>
        </w:rPr>
        <w:t>· Fasting BG level ≤ 5.0mmol/L and</w:t>
      </w:r>
    </w:p>
    <w:p w14:paraId="0FD30B05" w14:textId="77777777" w:rsidR="00D64801" w:rsidRPr="00BA1B7B" w:rsidRDefault="00D64801" w:rsidP="00D64801">
      <w:pPr>
        <w:autoSpaceDE w:val="0"/>
        <w:autoSpaceDN w:val="0"/>
        <w:adjustRightInd w:val="0"/>
        <w:spacing w:before="100" w:after="100"/>
        <w:jc w:val="center"/>
        <w:rPr>
          <w:rFonts w:ascii="Arial" w:hAnsi="Arial" w:cs="Arial"/>
          <w:b/>
          <w:bCs/>
          <w:sz w:val="20"/>
          <w:szCs w:val="20"/>
        </w:rPr>
      </w:pPr>
      <w:r w:rsidRPr="00BA1B7B">
        <w:rPr>
          <w:rFonts w:ascii="Arial" w:hAnsi="Arial" w:cs="Arial"/>
          <w:b/>
          <w:bCs/>
          <w:sz w:val="20"/>
          <w:szCs w:val="20"/>
        </w:rPr>
        <w:t>· Two hours postprandial ≤ 6.7 mmol/L.</w:t>
      </w:r>
    </w:p>
    <w:p w14:paraId="2E5A8626"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 xml:space="preserve">Women are advised to phone the diabetes educator if 2 results are elevated within a 7-day period. The diabetes education team contact women weekly via the phone for review of sugar levels. </w:t>
      </w:r>
    </w:p>
    <w:p w14:paraId="61D936A5" w14:textId="77777777" w:rsidR="00D64801" w:rsidRPr="00BA1B7B" w:rsidRDefault="00D64801" w:rsidP="00D64801">
      <w:pPr>
        <w:autoSpaceDE w:val="0"/>
        <w:autoSpaceDN w:val="0"/>
        <w:adjustRightInd w:val="0"/>
        <w:spacing w:before="100" w:after="100"/>
        <w:jc w:val="center"/>
        <w:rPr>
          <w:rFonts w:ascii="Arial" w:hAnsi="Arial" w:cs="Arial"/>
          <w:b/>
          <w:sz w:val="20"/>
          <w:szCs w:val="20"/>
          <w:u w:val="single"/>
        </w:rPr>
      </w:pPr>
    </w:p>
    <w:p w14:paraId="651245C9" w14:textId="77777777" w:rsidR="00D64801" w:rsidRPr="00BA1B7B" w:rsidRDefault="00D64801" w:rsidP="00D64801">
      <w:pPr>
        <w:autoSpaceDE w:val="0"/>
        <w:autoSpaceDN w:val="0"/>
        <w:adjustRightInd w:val="0"/>
        <w:spacing w:before="100" w:after="100"/>
        <w:jc w:val="center"/>
        <w:rPr>
          <w:rFonts w:ascii="Arial" w:hAnsi="Arial" w:cs="Arial"/>
          <w:b/>
          <w:sz w:val="20"/>
          <w:szCs w:val="20"/>
          <w:u w:val="single"/>
        </w:rPr>
      </w:pPr>
      <w:r w:rsidRPr="00BA1B7B">
        <w:rPr>
          <w:rFonts w:ascii="Arial" w:hAnsi="Arial" w:cs="Arial"/>
          <w:b/>
          <w:sz w:val="20"/>
          <w:szCs w:val="20"/>
          <w:u w:val="single"/>
        </w:rPr>
        <w:t>Women whose GDM is well controlled by dietary means only (not requiring insulin) are still considered suitable for GP shared care</w:t>
      </w:r>
    </w:p>
    <w:p w14:paraId="090C14CD" w14:textId="77777777" w:rsidR="00D64801" w:rsidRPr="00BA1B7B" w:rsidRDefault="00D64801" w:rsidP="00D64801">
      <w:pPr>
        <w:autoSpaceDE w:val="0"/>
        <w:autoSpaceDN w:val="0"/>
        <w:adjustRightInd w:val="0"/>
        <w:spacing w:before="100" w:after="100"/>
        <w:rPr>
          <w:rFonts w:ascii="Arial" w:hAnsi="Arial" w:cs="Arial"/>
          <w:sz w:val="20"/>
          <w:szCs w:val="20"/>
        </w:rPr>
      </w:pPr>
    </w:p>
    <w:p w14:paraId="2F86BBB7"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 xml:space="preserve">If two results are above the target levels, including post-prandial ≥ 6.8 mmol/L or fasting blood glucose ≥ 5.1 mmol/L within a seven-day period, and there is no scope for further lifestyle modifications, the women will be referred to an Endocrinologist for consideration of insulin therapy. Women who are commenced on insulin therapy in pregnancy will require hospital managed obstetric led care for the remainder of their pregnancy. </w:t>
      </w:r>
    </w:p>
    <w:p w14:paraId="5EDC1AA5" w14:textId="77777777" w:rsidR="00D64801" w:rsidRPr="00BA1B7B" w:rsidRDefault="00D64801" w:rsidP="00D64801">
      <w:pPr>
        <w:autoSpaceDE w:val="0"/>
        <w:autoSpaceDN w:val="0"/>
        <w:adjustRightInd w:val="0"/>
        <w:spacing w:before="100" w:after="100"/>
        <w:rPr>
          <w:rFonts w:ascii="Arial" w:hAnsi="Arial" w:cs="Arial"/>
          <w:sz w:val="20"/>
          <w:szCs w:val="20"/>
        </w:rPr>
      </w:pPr>
    </w:p>
    <w:p w14:paraId="3CF70A80" w14:textId="77777777" w:rsidR="00D64801" w:rsidRPr="00BA1B7B" w:rsidRDefault="00D64801" w:rsidP="00D64801">
      <w:pPr>
        <w:autoSpaceDE w:val="0"/>
        <w:autoSpaceDN w:val="0"/>
        <w:adjustRightInd w:val="0"/>
        <w:spacing w:before="100" w:after="100"/>
        <w:rPr>
          <w:rFonts w:ascii="Arial" w:hAnsi="Arial" w:cs="Arial"/>
          <w:b/>
          <w:bCs/>
          <w:sz w:val="20"/>
          <w:szCs w:val="20"/>
        </w:rPr>
      </w:pPr>
      <w:r w:rsidRPr="00BA1B7B">
        <w:rPr>
          <w:rFonts w:ascii="Arial" w:hAnsi="Arial" w:cs="Arial"/>
          <w:b/>
          <w:bCs/>
          <w:sz w:val="20"/>
          <w:szCs w:val="20"/>
        </w:rPr>
        <w:t xml:space="preserve">Pregnancy Management and Birth Planning – </w:t>
      </w:r>
    </w:p>
    <w:p w14:paraId="6C5AB32E"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 xml:space="preserve">Women with well controlled GDM (diet) should be monitored closely for signs of irregular fetal growth and pregnancy related hypertension. </w:t>
      </w:r>
    </w:p>
    <w:p w14:paraId="6E98CE04" w14:textId="77777777" w:rsidR="00D64801" w:rsidRPr="00BA1B7B" w:rsidRDefault="00D64801" w:rsidP="00D64801">
      <w:pPr>
        <w:autoSpaceDE w:val="0"/>
        <w:autoSpaceDN w:val="0"/>
        <w:adjustRightInd w:val="0"/>
        <w:spacing w:before="100" w:after="100"/>
        <w:rPr>
          <w:rFonts w:ascii="Arial" w:hAnsi="Arial" w:cs="Arial"/>
          <w:sz w:val="20"/>
          <w:szCs w:val="20"/>
        </w:rPr>
      </w:pPr>
    </w:p>
    <w:p w14:paraId="77245547"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 xml:space="preserve">Additional ultrasound (US) examinations should be considered if there is any clinical suspicion that the baby is large for gestational age (LGA) or small for gestational age (SGA). This should be specifically considered at 28-30 weeks and at 34-36 weeks. Further US monitoring will be required if LGA or SGA is present. </w:t>
      </w:r>
    </w:p>
    <w:p w14:paraId="47E87F4D" w14:textId="77777777" w:rsidR="00D64801" w:rsidRPr="00BA1B7B" w:rsidRDefault="00D64801" w:rsidP="00D64801">
      <w:pPr>
        <w:autoSpaceDE w:val="0"/>
        <w:autoSpaceDN w:val="0"/>
        <w:adjustRightInd w:val="0"/>
        <w:spacing w:before="100" w:after="100"/>
        <w:rPr>
          <w:rFonts w:ascii="Arial" w:hAnsi="Arial" w:cs="Arial"/>
          <w:sz w:val="20"/>
          <w:szCs w:val="20"/>
        </w:rPr>
      </w:pPr>
    </w:p>
    <w:p w14:paraId="3D688636"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 xml:space="preserve">Regular CTG monitoring is </w:t>
      </w:r>
      <w:r w:rsidRPr="00BA1B7B">
        <w:rPr>
          <w:rFonts w:ascii="Arial" w:hAnsi="Arial" w:cs="Arial"/>
          <w:b/>
          <w:sz w:val="20"/>
          <w:szCs w:val="20"/>
          <w:u w:val="single"/>
        </w:rPr>
        <w:t>not</w:t>
      </w:r>
      <w:r w:rsidRPr="00BA1B7B">
        <w:rPr>
          <w:rFonts w:ascii="Arial" w:hAnsi="Arial" w:cs="Arial"/>
          <w:sz w:val="20"/>
          <w:szCs w:val="20"/>
        </w:rPr>
        <w:t xml:space="preserve"> routinely required for well controlled GDM prior to 40 weeks. Women with well controlled GDM (diet controlled only) that have no other clinical risk factors or co-morbidities do not require early induction of labour on the basis of GDM. These women should follow the normal expected management for labour and pregnancy. </w:t>
      </w:r>
    </w:p>
    <w:p w14:paraId="6DF1AC44" w14:textId="5C0834C8" w:rsidR="00D64801" w:rsidRPr="00BA1B7B" w:rsidRDefault="00D64801"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75" w:name="_Toc120614310"/>
      <w:r w:rsidRPr="00BA1B7B">
        <w:rPr>
          <w:rFonts w:ascii="Arial" w:eastAsia="Times New Roman" w:hAnsi="Arial" w:cs="Arial"/>
          <w:b/>
          <w:bCs/>
          <w:sz w:val="20"/>
          <w:szCs w:val="20"/>
          <w:lang w:eastAsia="en-AU"/>
        </w:rPr>
        <w:t>7.2 RhD Alloimmunization in Pregnancy</w:t>
      </w:r>
      <w:bookmarkEnd w:id="75"/>
    </w:p>
    <w:p w14:paraId="6B6AA70F"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sz w:val="20"/>
          <w:szCs w:val="20"/>
        </w:rPr>
        <w:t xml:space="preserve">Eastern Health follows the clinical guidelines recommended by RANZCOG and the National Blood Authority in regard to Anti D administration in pregnancy. The following is the Eastern Health guidelines for Rhesus Negative women in pregnancy and the immediate postpartum period. </w:t>
      </w:r>
    </w:p>
    <w:p w14:paraId="7597DC1D" w14:textId="77777777" w:rsidR="00D64801" w:rsidRPr="00BA1B7B" w:rsidRDefault="00D64801" w:rsidP="00D64801">
      <w:pPr>
        <w:spacing w:line="276" w:lineRule="auto"/>
        <w:rPr>
          <w:rFonts w:ascii="Arial" w:hAnsi="Arial" w:cs="Arial"/>
          <w:b/>
          <w:bCs/>
          <w:sz w:val="20"/>
          <w:szCs w:val="20"/>
          <w:u w:val="single"/>
        </w:rPr>
      </w:pPr>
    </w:p>
    <w:p w14:paraId="5DE43381" w14:textId="77777777" w:rsidR="00D64801" w:rsidRPr="00BA1B7B" w:rsidRDefault="00D64801" w:rsidP="00D64801">
      <w:pPr>
        <w:spacing w:line="276" w:lineRule="auto"/>
        <w:rPr>
          <w:rFonts w:ascii="Arial" w:hAnsi="Arial" w:cs="Arial"/>
          <w:b/>
          <w:bCs/>
          <w:sz w:val="20"/>
          <w:szCs w:val="20"/>
          <w:u w:val="single"/>
        </w:rPr>
      </w:pPr>
      <w:r w:rsidRPr="00BA1B7B">
        <w:rPr>
          <w:rFonts w:ascii="Arial" w:hAnsi="Arial" w:cs="Arial"/>
          <w:b/>
          <w:bCs/>
          <w:sz w:val="20"/>
          <w:szCs w:val="20"/>
          <w:u w:val="single"/>
        </w:rPr>
        <w:t>First Antenatal attendance with their GP</w:t>
      </w:r>
    </w:p>
    <w:p w14:paraId="1698B628" w14:textId="77777777" w:rsidR="00D64801" w:rsidRPr="00BA1B7B" w:rsidRDefault="00D64801" w:rsidP="00D64801">
      <w:pPr>
        <w:spacing w:before="240" w:line="276" w:lineRule="auto"/>
        <w:rPr>
          <w:rFonts w:ascii="Arial" w:hAnsi="Arial" w:cs="Arial"/>
          <w:sz w:val="20"/>
          <w:szCs w:val="20"/>
        </w:rPr>
      </w:pPr>
      <w:r w:rsidRPr="00BA1B7B">
        <w:rPr>
          <w:rFonts w:ascii="Arial" w:hAnsi="Arial" w:cs="Arial"/>
          <w:sz w:val="20"/>
          <w:szCs w:val="20"/>
        </w:rPr>
        <w:t xml:space="preserve">All women require an updated blood group and antibody screen with initial booking bloods in early pregnancy to establish blood group and Rhesus status.  </w:t>
      </w:r>
    </w:p>
    <w:p w14:paraId="7B90CB48" w14:textId="77777777" w:rsidR="00D64801" w:rsidRPr="00BA1B7B" w:rsidRDefault="00D64801" w:rsidP="00D64801">
      <w:pPr>
        <w:spacing w:before="240" w:line="276" w:lineRule="auto"/>
        <w:rPr>
          <w:rFonts w:ascii="Arial" w:hAnsi="Arial" w:cs="Arial"/>
          <w:sz w:val="20"/>
          <w:szCs w:val="20"/>
        </w:rPr>
      </w:pPr>
      <w:r w:rsidRPr="00BA1B7B">
        <w:rPr>
          <w:rFonts w:ascii="Arial" w:hAnsi="Arial" w:cs="Arial"/>
          <w:sz w:val="20"/>
          <w:szCs w:val="20"/>
        </w:rPr>
        <w:t>Any woman who has Rhesus positive antibodies present requires obstetric led care at Eastern Health and is considered a red pathway, therefore not suitable for GP shared care. Where possible initial booking appointment should be arranged prior to 12 weeks gestation</w:t>
      </w:r>
    </w:p>
    <w:p w14:paraId="7CD3968B" w14:textId="77777777" w:rsidR="00D64801" w:rsidRPr="00BA1B7B" w:rsidRDefault="00D64801" w:rsidP="00D64801">
      <w:pPr>
        <w:autoSpaceDE w:val="0"/>
        <w:autoSpaceDN w:val="0"/>
        <w:adjustRightInd w:val="0"/>
        <w:rPr>
          <w:rFonts w:ascii="Arial" w:hAnsi="Arial" w:cs="Arial"/>
          <w:bCs/>
          <w:sz w:val="20"/>
          <w:szCs w:val="20"/>
        </w:rPr>
      </w:pPr>
      <w:r w:rsidRPr="00BA1B7B">
        <w:rPr>
          <w:rFonts w:ascii="Arial" w:hAnsi="Arial" w:cs="Arial"/>
          <w:sz w:val="20"/>
          <w:szCs w:val="20"/>
        </w:rPr>
        <w:t xml:space="preserve">Other antibodies requiring review include </w:t>
      </w:r>
      <w:r w:rsidRPr="00BA1B7B">
        <w:rPr>
          <w:rFonts w:ascii="Arial" w:hAnsi="Arial" w:cs="Arial"/>
          <w:bCs/>
          <w:sz w:val="20"/>
          <w:szCs w:val="20"/>
        </w:rPr>
        <w:t xml:space="preserve">Group 1 antibody: </w:t>
      </w:r>
      <w:r w:rsidRPr="00BA1B7B">
        <w:rPr>
          <w:rFonts w:ascii="Arial" w:hAnsi="Arial" w:cs="Arial"/>
          <w:sz w:val="20"/>
          <w:szCs w:val="20"/>
        </w:rPr>
        <w:t>(-D, -c, -E, -e, -C, -Fya, -K, -k)</w:t>
      </w:r>
    </w:p>
    <w:p w14:paraId="5C434968" w14:textId="77777777" w:rsidR="00D64801" w:rsidRPr="00BA1B7B" w:rsidRDefault="00D64801" w:rsidP="00D64801">
      <w:pPr>
        <w:autoSpaceDE w:val="0"/>
        <w:autoSpaceDN w:val="0"/>
        <w:adjustRightInd w:val="0"/>
        <w:rPr>
          <w:rFonts w:ascii="Arial" w:hAnsi="Arial" w:cs="Arial"/>
          <w:sz w:val="20"/>
          <w:szCs w:val="20"/>
        </w:rPr>
      </w:pPr>
      <w:r w:rsidRPr="00BA1B7B">
        <w:rPr>
          <w:rFonts w:ascii="Arial" w:hAnsi="Arial" w:cs="Arial"/>
          <w:bCs/>
          <w:sz w:val="20"/>
          <w:szCs w:val="20"/>
        </w:rPr>
        <w:t xml:space="preserve">OR Group 2 antibody: </w:t>
      </w:r>
      <w:r w:rsidRPr="00BA1B7B">
        <w:rPr>
          <w:rFonts w:ascii="Arial" w:hAnsi="Arial" w:cs="Arial"/>
          <w:sz w:val="20"/>
          <w:szCs w:val="20"/>
        </w:rPr>
        <w:t>(-Cw, -Fyb, -Jka, -Jkb, -Jk3, -S, -s, -M, -Gea)</w:t>
      </w:r>
      <w:r w:rsidRPr="00BA1B7B">
        <w:rPr>
          <w:rFonts w:ascii="Arial" w:hAnsi="Arial" w:cs="Arial"/>
          <w:bCs/>
          <w:sz w:val="20"/>
          <w:szCs w:val="20"/>
        </w:rPr>
        <w:t xml:space="preserve"> OR Previous history of infant affected by haemolytic disease of the newborn.  </w:t>
      </w:r>
      <w:r w:rsidRPr="00BA1B7B">
        <w:rPr>
          <w:rFonts w:ascii="Arial" w:hAnsi="Arial" w:cs="Arial"/>
          <w:sz w:val="20"/>
          <w:szCs w:val="20"/>
        </w:rPr>
        <w:t>Refer to MFM consultant for advice/ pregnancy management</w:t>
      </w:r>
    </w:p>
    <w:p w14:paraId="1C63FED0" w14:textId="77777777" w:rsidR="00D64801" w:rsidRPr="00BA1B7B" w:rsidRDefault="00D64801" w:rsidP="00D64801">
      <w:pPr>
        <w:autoSpaceDE w:val="0"/>
        <w:autoSpaceDN w:val="0"/>
        <w:adjustRightInd w:val="0"/>
        <w:rPr>
          <w:rFonts w:ascii="Arial" w:hAnsi="Arial" w:cs="Arial"/>
          <w:sz w:val="20"/>
          <w:szCs w:val="20"/>
        </w:rPr>
      </w:pPr>
    </w:p>
    <w:p w14:paraId="433337D8" w14:textId="77777777" w:rsidR="00D64801" w:rsidRPr="00BA1B7B" w:rsidRDefault="00D64801" w:rsidP="00D64801">
      <w:pPr>
        <w:autoSpaceDE w:val="0"/>
        <w:autoSpaceDN w:val="0"/>
        <w:adjustRightInd w:val="0"/>
        <w:rPr>
          <w:rFonts w:ascii="Arial" w:hAnsi="Arial" w:cs="Arial"/>
          <w:b/>
          <w:bCs/>
          <w:sz w:val="20"/>
          <w:szCs w:val="20"/>
        </w:rPr>
      </w:pPr>
      <w:r w:rsidRPr="00BA1B7B">
        <w:rPr>
          <w:rFonts w:ascii="Arial" w:hAnsi="Arial" w:cs="Arial"/>
          <w:sz w:val="20"/>
          <w:szCs w:val="20"/>
        </w:rPr>
        <w:t xml:space="preserve">Group 3 antibodies </w:t>
      </w:r>
      <w:r w:rsidRPr="00BA1B7B">
        <w:rPr>
          <w:rFonts w:ascii="Arial" w:hAnsi="Arial" w:cs="Arial"/>
          <w:b/>
          <w:bCs/>
          <w:sz w:val="20"/>
          <w:szCs w:val="20"/>
        </w:rPr>
        <w:t>(</w:t>
      </w:r>
      <w:r w:rsidRPr="00BA1B7B">
        <w:rPr>
          <w:rFonts w:ascii="Arial" w:hAnsi="Arial" w:cs="Arial"/>
          <w:sz w:val="20"/>
          <w:szCs w:val="20"/>
        </w:rPr>
        <w:t>-P1, -N, -H, -Lea, -Leb, -Lea+b, -Sda, -HLA)</w:t>
      </w:r>
    </w:p>
    <w:p w14:paraId="1EF241D9" w14:textId="77777777" w:rsidR="00D64801" w:rsidRPr="00BA1B7B" w:rsidRDefault="00D64801" w:rsidP="00D64801">
      <w:pPr>
        <w:autoSpaceDE w:val="0"/>
        <w:autoSpaceDN w:val="0"/>
        <w:adjustRightInd w:val="0"/>
        <w:rPr>
          <w:rFonts w:ascii="Arial" w:hAnsi="Arial" w:cs="Arial"/>
          <w:sz w:val="20"/>
          <w:szCs w:val="20"/>
        </w:rPr>
      </w:pPr>
      <w:r w:rsidRPr="00BA1B7B">
        <w:rPr>
          <w:rFonts w:ascii="Arial" w:hAnsi="Arial" w:cs="Arial"/>
          <w:sz w:val="20"/>
          <w:szCs w:val="20"/>
        </w:rPr>
        <w:t>Patient will require early group and screen when they present in labour but these antibodies do not affect the fetus.</w:t>
      </w:r>
    </w:p>
    <w:p w14:paraId="4ED4D648" w14:textId="77777777" w:rsidR="00D64801" w:rsidRPr="00BA1B7B" w:rsidRDefault="00D64801" w:rsidP="00D64801">
      <w:pPr>
        <w:spacing w:line="276" w:lineRule="auto"/>
        <w:rPr>
          <w:rFonts w:ascii="Arial" w:hAnsi="Arial" w:cs="Arial"/>
          <w:sz w:val="20"/>
          <w:szCs w:val="20"/>
        </w:rPr>
      </w:pPr>
    </w:p>
    <w:p w14:paraId="562D67B0"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Ongoing Routine Management for all Rhesus (D) negative women with no preformed Anti D- antibodies:</w:t>
      </w:r>
    </w:p>
    <w:p w14:paraId="26EFBB7B" w14:textId="52E311D8" w:rsidR="00D64801" w:rsidRDefault="00D64801" w:rsidP="00D64801">
      <w:pPr>
        <w:spacing w:line="276" w:lineRule="auto"/>
        <w:rPr>
          <w:rFonts w:ascii="Arial" w:hAnsi="Arial" w:cs="Arial"/>
          <w:sz w:val="20"/>
          <w:szCs w:val="20"/>
          <w:u w:val="single"/>
        </w:rPr>
      </w:pPr>
      <w:r w:rsidRPr="00BA1B7B">
        <w:rPr>
          <w:rFonts w:ascii="Arial" w:hAnsi="Arial" w:cs="Arial"/>
          <w:sz w:val="20"/>
          <w:szCs w:val="20"/>
          <w:u w:val="single"/>
        </w:rPr>
        <w:t>22 weeks Pregnancy appointment:</w:t>
      </w:r>
    </w:p>
    <w:p w14:paraId="6C3068E7" w14:textId="77777777" w:rsidR="005F1FD7" w:rsidRPr="00BA1B7B" w:rsidRDefault="005F1FD7" w:rsidP="00D64801">
      <w:pPr>
        <w:spacing w:line="276" w:lineRule="auto"/>
        <w:rPr>
          <w:rFonts w:ascii="Arial" w:hAnsi="Arial" w:cs="Arial"/>
          <w:sz w:val="20"/>
          <w:szCs w:val="20"/>
          <w:u w:val="single"/>
        </w:rPr>
      </w:pPr>
    </w:p>
    <w:p w14:paraId="2D742CFE" w14:textId="7FC02C2F"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At this appointment, please provide all Rhesus negative women a pathology request for a blood group and antibody screen. Please advise the woman to have this blood test done at an </w:t>
      </w:r>
      <w:r w:rsidRPr="00BA1B7B">
        <w:rPr>
          <w:rFonts w:ascii="Arial" w:hAnsi="Arial" w:cs="Arial"/>
          <w:bCs/>
          <w:sz w:val="20"/>
          <w:szCs w:val="20"/>
        </w:rPr>
        <w:t>Eastern Health pathology site</w:t>
      </w:r>
      <w:r w:rsidRPr="00BA1B7B">
        <w:rPr>
          <w:rFonts w:ascii="Arial" w:hAnsi="Arial" w:cs="Arial"/>
          <w:sz w:val="20"/>
          <w:szCs w:val="20"/>
        </w:rPr>
        <w:t xml:space="preserve"> if possible. This test is to be done at 26-28 weeks gestation. </w:t>
      </w:r>
    </w:p>
    <w:p w14:paraId="5CEED8EC" w14:textId="77777777" w:rsidR="00D64801" w:rsidRPr="00BA1B7B" w:rsidRDefault="00D64801" w:rsidP="00D64801">
      <w:pPr>
        <w:spacing w:line="276" w:lineRule="auto"/>
        <w:jc w:val="center"/>
        <w:rPr>
          <w:rFonts w:ascii="Arial" w:hAnsi="Arial" w:cs="Arial"/>
          <w:b/>
          <w:sz w:val="20"/>
          <w:szCs w:val="20"/>
        </w:rPr>
      </w:pPr>
      <w:r w:rsidRPr="00BA1B7B">
        <w:rPr>
          <w:rFonts w:ascii="Arial" w:hAnsi="Arial" w:cs="Arial"/>
          <w:b/>
          <w:sz w:val="20"/>
          <w:szCs w:val="20"/>
        </w:rPr>
        <w:t>NB: All routine pregnancy screening is usually collected @ this time</w:t>
      </w:r>
    </w:p>
    <w:p w14:paraId="5204CEF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All women participating in the GP shared care model require their 28-week appointment to be a hospital-based appointment. </w:t>
      </w:r>
    </w:p>
    <w:p w14:paraId="0A76845A" w14:textId="77777777" w:rsidR="00BE2083" w:rsidRPr="00BA1B7B" w:rsidRDefault="00BE2083" w:rsidP="00D64801">
      <w:pPr>
        <w:spacing w:line="276" w:lineRule="auto"/>
        <w:rPr>
          <w:rFonts w:ascii="Arial" w:hAnsi="Arial" w:cs="Arial"/>
          <w:sz w:val="20"/>
          <w:szCs w:val="20"/>
          <w:u w:val="single"/>
        </w:rPr>
      </w:pPr>
    </w:p>
    <w:p w14:paraId="1D84D5E4" w14:textId="14B6B79F" w:rsidR="00D64801" w:rsidRDefault="00D64801" w:rsidP="00D64801">
      <w:pPr>
        <w:spacing w:line="276" w:lineRule="auto"/>
        <w:rPr>
          <w:rFonts w:ascii="Arial" w:hAnsi="Arial" w:cs="Arial"/>
          <w:sz w:val="20"/>
          <w:szCs w:val="20"/>
          <w:u w:val="single"/>
        </w:rPr>
      </w:pPr>
      <w:r w:rsidRPr="00BA1B7B">
        <w:rPr>
          <w:rFonts w:ascii="Arial" w:hAnsi="Arial" w:cs="Arial"/>
          <w:sz w:val="20"/>
          <w:szCs w:val="20"/>
          <w:u w:val="single"/>
        </w:rPr>
        <w:t>28 week pregnancy appointment:</w:t>
      </w:r>
    </w:p>
    <w:p w14:paraId="40AF02B0" w14:textId="77777777" w:rsidR="005F1FD7" w:rsidRPr="00BA1B7B" w:rsidRDefault="005F1FD7" w:rsidP="00D64801">
      <w:pPr>
        <w:spacing w:line="276" w:lineRule="auto"/>
        <w:rPr>
          <w:rFonts w:ascii="Arial" w:hAnsi="Arial" w:cs="Arial"/>
          <w:sz w:val="20"/>
          <w:szCs w:val="20"/>
          <w:u w:val="single"/>
        </w:rPr>
      </w:pPr>
    </w:p>
    <w:p w14:paraId="0C0E3E7C"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The 28 week pregnancy appointment occurs at an Eastern Health facility. </w:t>
      </w:r>
    </w:p>
    <w:p w14:paraId="197FC66F"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Following this appointment all women will attend FMAC for routine administration of 625 IU of Anti D immunoglobulin. The recommended group and antibody screen is required prior to Anti D administration. If testing has occurred at an Eastern Health location, results will be available within the Electronic Medical Records, alternatively if testing performed outside Eastern Health please provide results to avoid undue delay in the administration process. </w:t>
      </w:r>
    </w:p>
    <w:p w14:paraId="55EC4A51" w14:textId="77777777" w:rsidR="00D64801" w:rsidRPr="00BA1B7B" w:rsidRDefault="00D64801" w:rsidP="00D64801">
      <w:pPr>
        <w:spacing w:line="276" w:lineRule="auto"/>
        <w:rPr>
          <w:rFonts w:ascii="Arial" w:hAnsi="Arial" w:cs="Arial"/>
          <w:sz w:val="20"/>
          <w:szCs w:val="20"/>
          <w:u w:val="single"/>
        </w:rPr>
      </w:pPr>
    </w:p>
    <w:p w14:paraId="64EBF5E4" w14:textId="1B68D003" w:rsidR="00D64801" w:rsidRDefault="00D64801" w:rsidP="00D64801">
      <w:pPr>
        <w:spacing w:line="276" w:lineRule="auto"/>
        <w:rPr>
          <w:rFonts w:ascii="Arial" w:hAnsi="Arial" w:cs="Arial"/>
          <w:sz w:val="20"/>
          <w:szCs w:val="20"/>
        </w:rPr>
      </w:pPr>
      <w:r w:rsidRPr="00BA1B7B">
        <w:rPr>
          <w:rFonts w:ascii="Arial" w:hAnsi="Arial" w:cs="Arial"/>
          <w:sz w:val="20"/>
          <w:szCs w:val="20"/>
          <w:u w:val="single"/>
        </w:rPr>
        <w:t>34-week pregnancy appointment</w:t>
      </w:r>
      <w:r w:rsidRPr="00BA1B7B">
        <w:rPr>
          <w:rFonts w:ascii="Arial" w:hAnsi="Arial" w:cs="Arial"/>
          <w:sz w:val="20"/>
          <w:szCs w:val="20"/>
        </w:rPr>
        <w:t>:</w:t>
      </w:r>
    </w:p>
    <w:p w14:paraId="1F00B9B7" w14:textId="77777777" w:rsidR="005F1FD7" w:rsidRPr="00BA1B7B" w:rsidRDefault="005F1FD7" w:rsidP="00D64801">
      <w:pPr>
        <w:spacing w:line="276" w:lineRule="auto"/>
        <w:rPr>
          <w:rFonts w:ascii="Arial" w:hAnsi="Arial" w:cs="Arial"/>
          <w:sz w:val="20"/>
          <w:szCs w:val="20"/>
        </w:rPr>
      </w:pPr>
    </w:p>
    <w:p w14:paraId="4B451E51"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The 34-week pregnancy appointment occurs at the GP’s surgery. Women should be reminded at this appointment to contact the relevant Eastern Health ante-natal clinic to organize an appointment in FMAC for a second administration of Anti D. If there have been no sensitizing events between 28 weeks and 34 weeks, and the initial prophylactic dose of Anti D immunoglobulin was administered, women do not require an additional group and antibody screen prior to the 34 appointment. </w:t>
      </w:r>
    </w:p>
    <w:p w14:paraId="35A8F83F"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Women receive a 2</w:t>
      </w:r>
      <w:r w:rsidRPr="00BA1B7B">
        <w:rPr>
          <w:rFonts w:ascii="Arial" w:hAnsi="Arial" w:cs="Arial"/>
          <w:sz w:val="20"/>
          <w:szCs w:val="20"/>
          <w:vertAlign w:val="superscript"/>
        </w:rPr>
        <w:t>nd</w:t>
      </w:r>
      <w:r w:rsidRPr="00BA1B7B">
        <w:rPr>
          <w:rFonts w:ascii="Arial" w:hAnsi="Arial" w:cs="Arial"/>
          <w:sz w:val="20"/>
          <w:szCs w:val="20"/>
        </w:rPr>
        <w:t xml:space="preserve"> dose of 625 IU of Anti D immunoglobulin at the prearranged FMAC appointment. </w:t>
      </w:r>
    </w:p>
    <w:p w14:paraId="2E48552A" w14:textId="77777777" w:rsidR="00D64801" w:rsidRPr="00BA1B7B" w:rsidRDefault="00D64801" w:rsidP="00D64801">
      <w:pPr>
        <w:spacing w:line="276" w:lineRule="auto"/>
        <w:rPr>
          <w:rFonts w:ascii="Arial" w:hAnsi="Arial" w:cs="Arial"/>
          <w:sz w:val="20"/>
          <w:szCs w:val="20"/>
        </w:rPr>
      </w:pPr>
    </w:p>
    <w:p w14:paraId="27F802A7" w14:textId="77777777" w:rsidR="00D64801" w:rsidRPr="00BA1B7B" w:rsidRDefault="00D64801" w:rsidP="00D64801">
      <w:pPr>
        <w:spacing w:line="276" w:lineRule="auto"/>
        <w:rPr>
          <w:rFonts w:ascii="Arial" w:hAnsi="Arial" w:cs="Arial"/>
          <w:sz w:val="20"/>
          <w:szCs w:val="20"/>
          <w:u w:val="single"/>
        </w:rPr>
      </w:pPr>
      <w:r w:rsidRPr="00BA1B7B">
        <w:rPr>
          <w:rFonts w:ascii="Arial" w:hAnsi="Arial" w:cs="Arial"/>
          <w:sz w:val="20"/>
          <w:szCs w:val="20"/>
          <w:u w:val="single"/>
        </w:rPr>
        <w:t>Post-Partum:</w:t>
      </w:r>
    </w:p>
    <w:p w14:paraId="708A84B3"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Post birth cord blood will be tested.  If the baby is Rhesus negative, no further action will be required.  If the baby is a Rhesus positive blood group, an additional blood group screen and Kleihaur will be collected from the mother and the appropriate dosage of Anti D immunoglobulin calculated and administered prophylactically within the first 72 hours post-partum. </w:t>
      </w:r>
    </w:p>
    <w:p w14:paraId="0D11C489" w14:textId="77777777" w:rsidR="00D64801" w:rsidRPr="00BA1B7B" w:rsidRDefault="00D64801" w:rsidP="00D64801">
      <w:pPr>
        <w:spacing w:line="276" w:lineRule="auto"/>
        <w:rPr>
          <w:rFonts w:ascii="Arial" w:hAnsi="Arial" w:cs="Arial"/>
          <w:sz w:val="20"/>
          <w:szCs w:val="20"/>
        </w:rPr>
      </w:pPr>
    </w:p>
    <w:p w14:paraId="7DAD78D5"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Anti D for sensitizing events:</w:t>
      </w:r>
    </w:p>
    <w:p w14:paraId="03018502" w14:textId="77777777" w:rsidR="00D64801" w:rsidRPr="00BA1B7B" w:rsidRDefault="00D64801" w:rsidP="00D64801">
      <w:pPr>
        <w:spacing w:line="276" w:lineRule="auto"/>
        <w:rPr>
          <w:rFonts w:ascii="Arial" w:eastAsia="Times New Roman" w:hAnsi="Arial" w:cs="Arial"/>
          <w:sz w:val="20"/>
          <w:szCs w:val="20"/>
          <w:lang w:val="en" w:eastAsia="en-AU"/>
        </w:rPr>
      </w:pPr>
      <w:r w:rsidRPr="00BA1B7B">
        <w:rPr>
          <w:rFonts w:ascii="Arial" w:hAnsi="Arial" w:cs="Arial"/>
          <w:sz w:val="20"/>
          <w:szCs w:val="20"/>
        </w:rPr>
        <w:t xml:space="preserve">A sensitizing event in pregnancy is defined as any event that can cause the </w:t>
      </w:r>
      <w:r w:rsidRPr="00BA1B7B">
        <w:rPr>
          <w:rFonts w:ascii="Arial" w:eastAsia="Times New Roman" w:hAnsi="Arial" w:cs="Arial"/>
          <w:sz w:val="20"/>
          <w:szCs w:val="20"/>
          <w:lang w:val="en" w:eastAsia="en-AU"/>
        </w:rPr>
        <w:t>possibility of fetal red blood cells crossing into the mother’s circulation. Sensitizing events include;</w:t>
      </w:r>
    </w:p>
    <w:p w14:paraId="6C585A7E" w14:textId="77777777" w:rsidR="00D64801" w:rsidRPr="00BA1B7B" w:rsidRDefault="00D64801" w:rsidP="004A22FD">
      <w:pPr>
        <w:pStyle w:val="ListParagraph"/>
        <w:numPr>
          <w:ilvl w:val="0"/>
          <w:numId w:val="37"/>
        </w:numPr>
        <w:spacing w:line="276" w:lineRule="auto"/>
        <w:rPr>
          <w:rFonts w:ascii="Arial" w:eastAsia="Times New Roman" w:hAnsi="Arial" w:cs="Arial"/>
          <w:sz w:val="20"/>
          <w:szCs w:val="20"/>
          <w:lang w:val="en" w:eastAsia="en-AU"/>
        </w:rPr>
      </w:pPr>
      <w:r w:rsidRPr="00BA1B7B">
        <w:rPr>
          <w:rFonts w:ascii="Arial" w:eastAsia="Times New Roman" w:hAnsi="Arial" w:cs="Arial"/>
          <w:sz w:val="20"/>
          <w:szCs w:val="20"/>
          <w:lang w:val="en" w:eastAsia="en-AU"/>
        </w:rPr>
        <w:t>Miscarriage</w:t>
      </w:r>
    </w:p>
    <w:p w14:paraId="14947988" w14:textId="77777777" w:rsidR="00D64801" w:rsidRPr="00BA1B7B" w:rsidRDefault="00D64801" w:rsidP="004A22FD">
      <w:pPr>
        <w:pStyle w:val="ListParagraph"/>
        <w:numPr>
          <w:ilvl w:val="0"/>
          <w:numId w:val="37"/>
        </w:numPr>
        <w:spacing w:line="276" w:lineRule="auto"/>
        <w:rPr>
          <w:rFonts w:ascii="Arial" w:eastAsia="Times New Roman" w:hAnsi="Arial" w:cs="Arial"/>
          <w:sz w:val="20"/>
          <w:szCs w:val="20"/>
          <w:lang w:val="en" w:eastAsia="en-AU"/>
        </w:rPr>
      </w:pPr>
      <w:r w:rsidRPr="00BA1B7B">
        <w:rPr>
          <w:rFonts w:ascii="Arial" w:eastAsia="Times New Roman" w:hAnsi="Arial" w:cs="Arial"/>
          <w:sz w:val="20"/>
          <w:szCs w:val="20"/>
          <w:lang w:val="en" w:eastAsia="en-AU"/>
        </w:rPr>
        <w:t>Ectopic pregnancy</w:t>
      </w:r>
    </w:p>
    <w:p w14:paraId="1F071439" w14:textId="77777777" w:rsidR="00D64801" w:rsidRPr="00BA1B7B" w:rsidRDefault="00D64801" w:rsidP="004A22FD">
      <w:pPr>
        <w:pStyle w:val="ListParagraph"/>
        <w:numPr>
          <w:ilvl w:val="0"/>
          <w:numId w:val="37"/>
        </w:numPr>
        <w:spacing w:line="276" w:lineRule="auto"/>
        <w:rPr>
          <w:rFonts w:ascii="Arial" w:eastAsia="Times New Roman" w:hAnsi="Arial" w:cs="Arial"/>
          <w:sz w:val="20"/>
          <w:szCs w:val="20"/>
          <w:lang w:val="en" w:eastAsia="en-AU"/>
        </w:rPr>
      </w:pPr>
      <w:r w:rsidRPr="00BA1B7B">
        <w:rPr>
          <w:rFonts w:ascii="Arial" w:eastAsia="Times New Roman" w:hAnsi="Arial" w:cs="Arial"/>
          <w:sz w:val="20"/>
          <w:szCs w:val="20"/>
          <w:lang w:val="en" w:eastAsia="en-AU"/>
        </w:rPr>
        <w:t>Termination of pregnancy (medical or surgical)</w:t>
      </w:r>
    </w:p>
    <w:p w14:paraId="6D9FA2ED" w14:textId="77777777" w:rsidR="00D64801" w:rsidRPr="00BA1B7B" w:rsidRDefault="00D64801" w:rsidP="004A22FD">
      <w:pPr>
        <w:pStyle w:val="ListParagraph"/>
        <w:numPr>
          <w:ilvl w:val="0"/>
          <w:numId w:val="37"/>
        </w:numPr>
        <w:spacing w:line="276" w:lineRule="auto"/>
        <w:rPr>
          <w:rFonts w:ascii="Arial" w:eastAsia="Times New Roman" w:hAnsi="Arial" w:cs="Arial"/>
          <w:sz w:val="20"/>
          <w:szCs w:val="20"/>
          <w:lang w:val="en" w:eastAsia="en-AU"/>
        </w:rPr>
      </w:pPr>
      <w:r w:rsidRPr="00BA1B7B">
        <w:rPr>
          <w:rFonts w:ascii="Arial" w:eastAsia="Times New Roman" w:hAnsi="Arial" w:cs="Arial"/>
          <w:sz w:val="20"/>
          <w:szCs w:val="20"/>
          <w:lang w:val="en" w:eastAsia="en-AU"/>
        </w:rPr>
        <w:t>Invasive prenatal investigations (for example: amniocentesis or chorionic villus sampling)</w:t>
      </w:r>
    </w:p>
    <w:p w14:paraId="203A3E3C" w14:textId="77777777" w:rsidR="00D64801" w:rsidRPr="00BA1B7B" w:rsidRDefault="00D64801" w:rsidP="004A22FD">
      <w:pPr>
        <w:pStyle w:val="ListParagraph"/>
        <w:numPr>
          <w:ilvl w:val="0"/>
          <w:numId w:val="37"/>
        </w:numPr>
        <w:spacing w:line="276" w:lineRule="auto"/>
        <w:rPr>
          <w:rFonts w:ascii="Arial" w:eastAsia="Times New Roman" w:hAnsi="Arial" w:cs="Arial"/>
          <w:sz w:val="20"/>
          <w:szCs w:val="20"/>
          <w:lang w:val="en" w:eastAsia="en-AU"/>
        </w:rPr>
      </w:pPr>
      <w:r w:rsidRPr="00BA1B7B">
        <w:rPr>
          <w:rFonts w:ascii="Arial" w:eastAsia="Times New Roman" w:hAnsi="Arial" w:cs="Arial"/>
          <w:sz w:val="20"/>
          <w:szCs w:val="20"/>
          <w:lang w:val="en" w:eastAsia="en-AU"/>
        </w:rPr>
        <w:t>Antepartum haemorrhage</w:t>
      </w:r>
    </w:p>
    <w:p w14:paraId="75723911" w14:textId="77777777" w:rsidR="00D64801" w:rsidRPr="00BA1B7B" w:rsidRDefault="00D64801" w:rsidP="004A22FD">
      <w:pPr>
        <w:pStyle w:val="ListParagraph"/>
        <w:numPr>
          <w:ilvl w:val="0"/>
          <w:numId w:val="37"/>
        </w:numPr>
        <w:spacing w:line="276" w:lineRule="auto"/>
        <w:rPr>
          <w:rFonts w:ascii="Arial" w:eastAsia="Times New Roman" w:hAnsi="Arial" w:cs="Arial"/>
          <w:sz w:val="20"/>
          <w:szCs w:val="20"/>
          <w:lang w:val="en" w:eastAsia="en-AU"/>
        </w:rPr>
      </w:pPr>
      <w:r w:rsidRPr="00BA1B7B">
        <w:rPr>
          <w:rFonts w:ascii="Arial" w:eastAsia="Times New Roman" w:hAnsi="Arial" w:cs="Arial"/>
          <w:sz w:val="20"/>
          <w:szCs w:val="20"/>
          <w:lang w:val="en" w:eastAsia="en-AU"/>
        </w:rPr>
        <w:t>Any major abdominal trauma with enough force to cause feto-maternal haemorrhage (for example: car accident, large fall, contact sports)</w:t>
      </w:r>
    </w:p>
    <w:p w14:paraId="3A044700" w14:textId="77777777" w:rsidR="00D64801" w:rsidRPr="00BA1B7B" w:rsidRDefault="00D64801" w:rsidP="004A22FD">
      <w:pPr>
        <w:pStyle w:val="ListParagraph"/>
        <w:numPr>
          <w:ilvl w:val="0"/>
          <w:numId w:val="37"/>
        </w:numPr>
        <w:spacing w:line="276" w:lineRule="auto"/>
        <w:rPr>
          <w:rFonts w:ascii="Arial" w:eastAsia="Times New Roman" w:hAnsi="Arial" w:cs="Arial"/>
          <w:sz w:val="20"/>
          <w:szCs w:val="20"/>
          <w:lang w:val="en" w:eastAsia="en-AU"/>
        </w:rPr>
      </w:pPr>
      <w:r w:rsidRPr="00BA1B7B">
        <w:rPr>
          <w:rFonts w:ascii="Arial" w:eastAsia="Times New Roman" w:hAnsi="Arial" w:cs="Arial"/>
          <w:sz w:val="20"/>
          <w:szCs w:val="20"/>
          <w:lang w:val="en" w:eastAsia="en-AU"/>
        </w:rPr>
        <w:t>External Cephalic Version (regardless of success)</w:t>
      </w:r>
    </w:p>
    <w:p w14:paraId="51248E5C" w14:textId="77777777" w:rsidR="00D64801" w:rsidRPr="00BA1B7B" w:rsidRDefault="00D64801" w:rsidP="00D64801">
      <w:pPr>
        <w:spacing w:line="276" w:lineRule="auto"/>
        <w:rPr>
          <w:rFonts w:ascii="Arial" w:eastAsia="Times New Roman" w:hAnsi="Arial" w:cs="Arial"/>
          <w:sz w:val="20"/>
          <w:szCs w:val="20"/>
          <w:lang w:val="en" w:eastAsia="en-AU"/>
        </w:rPr>
      </w:pPr>
    </w:p>
    <w:p w14:paraId="02764494" w14:textId="77777777" w:rsidR="00D64801" w:rsidRPr="00BA1B7B" w:rsidRDefault="00D64801" w:rsidP="00D64801">
      <w:pPr>
        <w:spacing w:line="276" w:lineRule="auto"/>
        <w:rPr>
          <w:rFonts w:ascii="Arial" w:eastAsia="Times New Roman" w:hAnsi="Arial" w:cs="Arial"/>
          <w:sz w:val="20"/>
          <w:szCs w:val="20"/>
          <w:lang w:val="en" w:eastAsia="en-AU"/>
        </w:rPr>
      </w:pPr>
      <w:r w:rsidRPr="00BA1B7B">
        <w:rPr>
          <w:rFonts w:ascii="Arial" w:eastAsia="Times New Roman" w:hAnsi="Arial" w:cs="Arial"/>
          <w:sz w:val="20"/>
          <w:szCs w:val="20"/>
          <w:lang w:val="en" w:eastAsia="en-AU"/>
        </w:rPr>
        <w:t xml:space="preserve">It is vital that GPs send any Rhesus negative women presenting to them following a possible sensitizing event to the hospital emergency department for review and Anti D administration.  The dosage of Anti D immunoglobulin will vary between 250 IU and 625 IU based on a woman’s gestation, number of pregnancies and kleihaur analysis. </w:t>
      </w:r>
    </w:p>
    <w:p w14:paraId="07751789" w14:textId="568FB586" w:rsidR="00D64801" w:rsidRPr="00BA1B7B" w:rsidRDefault="00D64801" w:rsidP="00D64801">
      <w:pPr>
        <w:spacing w:line="276" w:lineRule="auto"/>
        <w:rPr>
          <w:rFonts w:ascii="Arial" w:eastAsia="Times New Roman" w:hAnsi="Arial" w:cs="Arial"/>
          <w:b/>
          <w:bCs/>
          <w:sz w:val="20"/>
          <w:szCs w:val="20"/>
          <w:lang w:val="en" w:eastAsia="en-AU"/>
        </w:rPr>
      </w:pPr>
    </w:p>
    <w:p w14:paraId="3214846A" w14:textId="77777777" w:rsidR="00D64801" w:rsidRPr="00BA1B7B" w:rsidRDefault="00D64801" w:rsidP="00D64801">
      <w:pPr>
        <w:spacing w:line="276" w:lineRule="auto"/>
        <w:rPr>
          <w:rFonts w:ascii="Arial" w:eastAsia="Times New Roman" w:hAnsi="Arial" w:cs="Arial"/>
          <w:b/>
          <w:bCs/>
          <w:sz w:val="20"/>
          <w:szCs w:val="20"/>
          <w:lang w:val="en" w:eastAsia="en-AU"/>
        </w:rPr>
      </w:pPr>
      <w:r w:rsidRPr="00BA1B7B">
        <w:rPr>
          <w:rFonts w:ascii="Arial" w:eastAsia="Times New Roman" w:hAnsi="Arial" w:cs="Arial"/>
          <w:b/>
          <w:bCs/>
          <w:sz w:val="20"/>
          <w:szCs w:val="20"/>
          <w:lang w:val="en" w:eastAsia="en-AU"/>
        </w:rPr>
        <w:t>Useful Links:</w:t>
      </w:r>
    </w:p>
    <w:p w14:paraId="58289F56" w14:textId="77777777" w:rsidR="00D64801" w:rsidRPr="00BA1B7B" w:rsidRDefault="00D64801" w:rsidP="00D64801">
      <w:pPr>
        <w:spacing w:line="276" w:lineRule="auto"/>
        <w:rPr>
          <w:rFonts w:ascii="Arial" w:eastAsia="Times New Roman" w:hAnsi="Arial" w:cs="Arial"/>
          <w:sz w:val="20"/>
          <w:szCs w:val="20"/>
          <w:lang w:val="en" w:eastAsia="en-AU"/>
        </w:rPr>
      </w:pPr>
      <w:r w:rsidRPr="00BA1B7B">
        <w:rPr>
          <w:rFonts w:ascii="Arial" w:eastAsia="Times New Roman" w:hAnsi="Arial" w:cs="Arial"/>
          <w:sz w:val="20"/>
          <w:szCs w:val="20"/>
          <w:lang w:val="en" w:eastAsia="en-AU"/>
        </w:rPr>
        <w:t>RANZCOG – Anti D administration guidelines:</w:t>
      </w:r>
    </w:p>
    <w:p w14:paraId="2975955D" w14:textId="77777777" w:rsidR="00D64801" w:rsidRPr="00BA1B7B" w:rsidRDefault="00A97F97" w:rsidP="00D64801">
      <w:pPr>
        <w:spacing w:line="276" w:lineRule="auto"/>
        <w:rPr>
          <w:rFonts w:ascii="Arial" w:hAnsi="Arial" w:cs="Arial"/>
          <w:sz w:val="20"/>
          <w:szCs w:val="20"/>
        </w:rPr>
      </w:pPr>
      <w:hyperlink r:id="rId137" w:history="1">
        <w:r w:rsidR="00D64801" w:rsidRPr="00BA1B7B">
          <w:rPr>
            <w:rFonts w:ascii="Arial" w:hAnsi="Arial" w:cs="Arial"/>
            <w:sz w:val="20"/>
            <w:szCs w:val="20"/>
            <w:u w:val="single"/>
          </w:rPr>
          <w:t>https://ranzcog.edu.au/RANZCOG_SITE/media/RANZCOG-MEDIA/Women%27s%20Health/Statement%20and%20guidelines/Clinical-Obstetrics/Use-of-Rh(D)-Isoimmunization-(C-Obs-6).pdf?ext=.pdf</w:t>
        </w:r>
      </w:hyperlink>
    </w:p>
    <w:p w14:paraId="1EEFD293"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National Blood Authority: </w:t>
      </w:r>
    </w:p>
    <w:p w14:paraId="716E174F"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Anti D Guidelines:</w:t>
      </w:r>
    </w:p>
    <w:p w14:paraId="27811D99" w14:textId="77777777" w:rsidR="00D64801" w:rsidRPr="00BA1B7B" w:rsidRDefault="00A97F97" w:rsidP="00D64801">
      <w:pPr>
        <w:spacing w:line="276" w:lineRule="auto"/>
        <w:rPr>
          <w:rFonts w:ascii="Arial" w:hAnsi="Arial" w:cs="Arial"/>
          <w:sz w:val="20"/>
          <w:szCs w:val="20"/>
        </w:rPr>
      </w:pPr>
      <w:hyperlink r:id="rId138" w:history="1">
        <w:r w:rsidR="00D64801" w:rsidRPr="00BA1B7B">
          <w:rPr>
            <w:rStyle w:val="Hyperlink"/>
            <w:rFonts w:ascii="Arial" w:hAnsi="Arial" w:cs="Arial"/>
            <w:color w:val="auto"/>
            <w:sz w:val="20"/>
            <w:szCs w:val="20"/>
          </w:rPr>
          <w:t>https://www.blood.gov.au/document/guidelines-prophylatic-use-rh-d-immunoglobulin-anti-d-obstetrics-pdf</w:t>
        </w:r>
      </w:hyperlink>
    </w:p>
    <w:p w14:paraId="1F593FA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Frequently Asked Questions – Anti D</w:t>
      </w:r>
    </w:p>
    <w:p w14:paraId="3DEB2DE0" w14:textId="77777777" w:rsidR="00D64801" w:rsidRPr="00BA1B7B" w:rsidRDefault="00A97F97" w:rsidP="00D64801">
      <w:pPr>
        <w:spacing w:line="276" w:lineRule="auto"/>
        <w:rPr>
          <w:rFonts w:ascii="Arial" w:hAnsi="Arial" w:cs="Arial"/>
          <w:sz w:val="20"/>
          <w:szCs w:val="20"/>
        </w:rPr>
      </w:pPr>
      <w:hyperlink r:id="rId139" w:history="1">
        <w:r w:rsidR="00D64801" w:rsidRPr="00BA1B7B">
          <w:rPr>
            <w:rStyle w:val="Hyperlink"/>
            <w:rFonts w:ascii="Arial" w:hAnsi="Arial" w:cs="Arial"/>
            <w:color w:val="auto"/>
            <w:sz w:val="20"/>
            <w:szCs w:val="20"/>
          </w:rPr>
          <w:t>https://www.nslhd.health.nsw.gov.au/Services/Directory/Documents/FAQs%20Use%20of%20Rh%20(D)%20Immunoglobulin.pdf</w:t>
        </w:r>
      </w:hyperlink>
    </w:p>
    <w:p w14:paraId="024BC62B" w14:textId="77777777" w:rsidR="00D64801" w:rsidRPr="00BA1B7B" w:rsidRDefault="00D64801" w:rsidP="00D64801">
      <w:pPr>
        <w:spacing w:line="276" w:lineRule="auto"/>
        <w:rPr>
          <w:rFonts w:ascii="Arial" w:hAnsi="Arial" w:cs="Arial"/>
          <w:sz w:val="20"/>
          <w:szCs w:val="20"/>
        </w:rPr>
      </w:pPr>
    </w:p>
    <w:p w14:paraId="2FFE004B" w14:textId="2374C9B2" w:rsidR="00D64801" w:rsidRPr="00BA1B7B" w:rsidRDefault="00074F2F"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76" w:name="_Toc120614311"/>
      <w:r w:rsidRPr="00BA1B7B">
        <w:rPr>
          <w:rFonts w:ascii="Arial" w:eastAsia="Times New Roman" w:hAnsi="Arial" w:cs="Arial"/>
          <w:b/>
          <w:bCs/>
          <w:sz w:val="20"/>
          <w:szCs w:val="20"/>
          <w:lang w:eastAsia="en-AU"/>
        </w:rPr>
        <w:t>7.3 Anaemia in pregnancy</w:t>
      </w:r>
      <w:bookmarkEnd w:id="76"/>
    </w:p>
    <w:p w14:paraId="3E5DF83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To ensure the best physiological, cognitive and developmental outcomes for mother and baby, Hb, iron, B12 and folate need to be optimised throughout pregnancy, delivery and breastfeeding.</w:t>
      </w:r>
    </w:p>
    <w:p w14:paraId="360844F3"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The following is the Eastern Health recommendation for screening and management of iron deficiency and iron deficiency anaemia in pregnancy. </w:t>
      </w:r>
    </w:p>
    <w:p w14:paraId="7649F87D" w14:textId="200A83C6"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Anaemia occurs when there is a lower than normal concentration of haemoglobin in the body. In pregnancy the World Health Organization state that the minimum haemoglobin levels acceptable for pregnancy are 110 mg/dL in the first half of pregnancy and 105 mg/ dL in the second half. There are</w:t>
      </w:r>
      <w:r w:rsidR="00BE2083" w:rsidRPr="00BA1B7B">
        <w:rPr>
          <w:rFonts w:ascii="Arial" w:hAnsi="Arial" w:cs="Arial"/>
          <w:sz w:val="20"/>
          <w:szCs w:val="20"/>
        </w:rPr>
        <w:t xml:space="preserve"> four</w:t>
      </w:r>
      <w:r w:rsidRPr="00BA1B7B">
        <w:rPr>
          <w:rFonts w:ascii="Arial" w:hAnsi="Arial" w:cs="Arial"/>
          <w:sz w:val="20"/>
          <w:szCs w:val="20"/>
        </w:rPr>
        <w:t xml:space="preserve"> main causes of anaemia associated with pregnancy, Iron deficiency, folate deficiency, Vitamin B 12 deficiency and </w:t>
      </w:r>
      <w:bookmarkStart w:id="77" w:name="_Hlk48218978"/>
      <w:r w:rsidRPr="00BA1B7B">
        <w:rPr>
          <w:rFonts w:ascii="Arial" w:hAnsi="Arial" w:cs="Arial"/>
          <w:sz w:val="20"/>
          <w:szCs w:val="20"/>
        </w:rPr>
        <w:t>haemoglobinopathies</w:t>
      </w:r>
      <w:bookmarkEnd w:id="77"/>
      <w:r w:rsidRPr="00BA1B7B">
        <w:rPr>
          <w:rFonts w:ascii="Arial" w:hAnsi="Arial" w:cs="Arial"/>
          <w:sz w:val="20"/>
          <w:szCs w:val="20"/>
        </w:rPr>
        <w:t xml:space="preserve">. Out of the </w:t>
      </w:r>
      <w:r w:rsidR="00BE2083" w:rsidRPr="00BA1B7B">
        <w:rPr>
          <w:rFonts w:ascii="Arial" w:hAnsi="Arial" w:cs="Arial"/>
          <w:sz w:val="20"/>
          <w:szCs w:val="20"/>
        </w:rPr>
        <w:t>four</w:t>
      </w:r>
      <w:r w:rsidRPr="00BA1B7B">
        <w:rPr>
          <w:rFonts w:ascii="Arial" w:hAnsi="Arial" w:cs="Arial"/>
          <w:sz w:val="20"/>
          <w:szCs w:val="20"/>
        </w:rPr>
        <w:t xml:space="preserve"> causes, Iron deficiency is the most common cause of anaemia in pregnancy. </w:t>
      </w:r>
    </w:p>
    <w:p w14:paraId="0ECEC7ED" w14:textId="77777777" w:rsidR="00D64801" w:rsidRPr="00BA1B7B" w:rsidRDefault="00D64801" w:rsidP="00D64801">
      <w:pPr>
        <w:spacing w:line="276" w:lineRule="auto"/>
        <w:rPr>
          <w:rFonts w:ascii="Arial" w:hAnsi="Arial" w:cs="Arial"/>
          <w:b/>
          <w:bCs/>
          <w:sz w:val="20"/>
          <w:szCs w:val="20"/>
        </w:rPr>
      </w:pPr>
    </w:p>
    <w:p w14:paraId="68B0F512" w14:textId="377D025A" w:rsidR="00D64801" w:rsidRPr="00BA1B7B" w:rsidRDefault="00D64801" w:rsidP="002348E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78" w:name="_Toc120614312"/>
      <w:r w:rsidRPr="00BA1B7B">
        <w:rPr>
          <w:rFonts w:ascii="Arial" w:eastAsia="Times New Roman" w:hAnsi="Arial" w:cs="Arial"/>
          <w:b/>
          <w:bCs/>
          <w:sz w:val="20"/>
          <w:szCs w:val="20"/>
          <w:lang w:eastAsia="en-AU"/>
        </w:rPr>
        <w:t>7.4 Iron Deficiency</w:t>
      </w:r>
      <w:bookmarkEnd w:id="78"/>
      <w:r w:rsidRPr="00BA1B7B">
        <w:rPr>
          <w:rFonts w:ascii="Arial" w:eastAsia="Times New Roman" w:hAnsi="Arial" w:cs="Arial"/>
          <w:b/>
          <w:bCs/>
          <w:sz w:val="20"/>
          <w:szCs w:val="20"/>
          <w:lang w:eastAsia="en-AU"/>
        </w:rPr>
        <w:t xml:space="preserve"> </w:t>
      </w:r>
    </w:p>
    <w:p w14:paraId="67B68FEC"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Assessment:</w:t>
      </w:r>
    </w:p>
    <w:p w14:paraId="61BC4F83" w14:textId="77777777" w:rsidR="00D64801" w:rsidRPr="00BA1B7B" w:rsidRDefault="00D64801" w:rsidP="004A22FD">
      <w:pPr>
        <w:pStyle w:val="ListParagraph"/>
        <w:numPr>
          <w:ilvl w:val="0"/>
          <w:numId w:val="48"/>
        </w:numPr>
        <w:spacing w:line="276" w:lineRule="auto"/>
        <w:rPr>
          <w:rFonts w:ascii="Arial" w:hAnsi="Arial" w:cs="Arial"/>
          <w:sz w:val="20"/>
          <w:szCs w:val="20"/>
        </w:rPr>
      </w:pPr>
      <w:r w:rsidRPr="00BA1B7B">
        <w:rPr>
          <w:rFonts w:ascii="Arial" w:hAnsi="Arial" w:cs="Arial"/>
          <w:b/>
          <w:bCs/>
          <w:sz w:val="20"/>
          <w:szCs w:val="20"/>
        </w:rPr>
        <w:t>All</w:t>
      </w:r>
      <w:r w:rsidRPr="00BA1B7B">
        <w:rPr>
          <w:rFonts w:ascii="Arial" w:hAnsi="Arial" w:cs="Arial"/>
          <w:sz w:val="20"/>
          <w:szCs w:val="20"/>
        </w:rPr>
        <w:t xml:space="preserve"> women should be offered routine FBE and iron studies with their initial early pregnancy screening bloods. </w:t>
      </w:r>
    </w:p>
    <w:p w14:paraId="10433B52" w14:textId="77777777" w:rsidR="00D64801" w:rsidRPr="00BA1B7B" w:rsidRDefault="00D64801" w:rsidP="00D64801">
      <w:pPr>
        <w:spacing w:line="276" w:lineRule="auto"/>
        <w:rPr>
          <w:rFonts w:ascii="Arial" w:hAnsi="Arial" w:cs="Arial"/>
          <w:sz w:val="20"/>
          <w:szCs w:val="20"/>
        </w:rPr>
      </w:pPr>
    </w:p>
    <w:p w14:paraId="7E476D63" w14:textId="77777777" w:rsidR="00D64801" w:rsidRPr="00BA1B7B" w:rsidRDefault="00D64801" w:rsidP="004A22FD">
      <w:pPr>
        <w:pStyle w:val="ListParagraph"/>
        <w:numPr>
          <w:ilvl w:val="0"/>
          <w:numId w:val="48"/>
        </w:numPr>
        <w:spacing w:line="276" w:lineRule="auto"/>
        <w:rPr>
          <w:rFonts w:ascii="Arial" w:hAnsi="Arial" w:cs="Arial"/>
          <w:sz w:val="20"/>
          <w:szCs w:val="20"/>
        </w:rPr>
      </w:pPr>
      <w:r w:rsidRPr="00BA1B7B">
        <w:rPr>
          <w:rFonts w:ascii="Arial" w:hAnsi="Arial" w:cs="Arial"/>
          <w:sz w:val="20"/>
          <w:szCs w:val="20"/>
        </w:rPr>
        <w:t>Women who are iron deficient in early pregnancy, have pre-existing iron deficiency a cause should be sought and found.  They should also be screened for coeliac disease.</w:t>
      </w:r>
    </w:p>
    <w:p w14:paraId="153C5C70" w14:textId="77777777" w:rsidR="00D64801" w:rsidRPr="00BA1B7B" w:rsidRDefault="00D64801" w:rsidP="00D64801">
      <w:pPr>
        <w:spacing w:line="276" w:lineRule="auto"/>
        <w:rPr>
          <w:rFonts w:ascii="Arial" w:hAnsi="Arial" w:cs="Arial"/>
          <w:sz w:val="20"/>
          <w:szCs w:val="20"/>
        </w:rPr>
      </w:pPr>
    </w:p>
    <w:p w14:paraId="47B2F6B3" w14:textId="77777777" w:rsidR="00D64801" w:rsidRPr="00BA1B7B" w:rsidRDefault="00D64801" w:rsidP="004A22FD">
      <w:pPr>
        <w:pStyle w:val="ListParagraph"/>
        <w:numPr>
          <w:ilvl w:val="0"/>
          <w:numId w:val="48"/>
        </w:numPr>
        <w:spacing w:line="276" w:lineRule="auto"/>
        <w:rPr>
          <w:rFonts w:ascii="Arial" w:hAnsi="Arial" w:cs="Arial"/>
          <w:sz w:val="20"/>
          <w:szCs w:val="20"/>
        </w:rPr>
      </w:pPr>
      <w:r w:rsidRPr="00BA1B7B">
        <w:rPr>
          <w:rFonts w:ascii="Arial" w:hAnsi="Arial" w:cs="Arial"/>
          <w:sz w:val="20"/>
          <w:szCs w:val="20"/>
        </w:rPr>
        <w:t xml:space="preserve">Women should have a repeat FBE and iron studies at 26 - 28 weeks gestation to identify a drop in HB/ferritin as pregnancy demands increase. </w:t>
      </w:r>
    </w:p>
    <w:p w14:paraId="37AF0BD7" w14:textId="77777777" w:rsidR="00D64801" w:rsidRPr="00BA1B7B" w:rsidRDefault="00D64801" w:rsidP="00D64801">
      <w:pPr>
        <w:spacing w:line="276" w:lineRule="auto"/>
        <w:rPr>
          <w:rFonts w:ascii="Arial" w:hAnsi="Arial" w:cs="Arial"/>
          <w:sz w:val="20"/>
          <w:szCs w:val="20"/>
        </w:rPr>
      </w:pPr>
    </w:p>
    <w:p w14:paraId="516616A3" w14:textId="144EF727" w:rsidR="00D64801" w:rsidRPr="00BA1B7B" w:rsidRDefault="00D64801" w:rsidP="004A22FD">
      <w:pPr>
        <w:pStyle w:val="ListParagraph"/>
        <w:numPr>
          <w:ilvl w:val="0"/>
          <w:numId w:val="48"/>
        </w:numPr>
        <w:spacing w:line="276" w:lineRule="auto"/>
        <w:rPr>
          <w:rFonts w:ascii="Arial" w:hAnsi="Arial" w:cs="Arial"/>
          <w:sz w:val="20"/>
          <w:szCs w:val="20"/>
        </w:rPr>
      </w:pPr>
      <w:r w:rsidRPr="00BA1B7B">
        <w:rPr>
          <w:rFonts w:ascii="Arial" w:hAnsi="Arial" w:cs="Arial"/>
          <w:sz w:val="20"/>
          <w:szCs w:val="20"/>
        </w:rPr>
        <w:t xml:space="preserve">At any time in the pregnancy if Hb is </w:t>
      </w:r>
      <w:r w:rsidR="00BE2083" w:rsidRPr="00BA1B7B">
        <w:rPr>
          <w:rFonts w:ascii="Arial" w:hAnsi="Arial" w:cs="Arial"/>
          <w:sz w:val="20"/>
          <w:szCs w:val="20"/>
        </w:rPr>
        <w:t>&lt;</w:t>
      </w:r>
      <w:r w:rsidRPr="00BA1B7B">
        <w:rPr>
          <w:rFonts w:ascii="Arial" w:hAnsi="Arial" w:cs="Arial"/>
          <w:sz w:val="20"/>
          <w:szCs w:val="20"/>
        </w:rPr>
        <w:t xml:space="preserve">110mg/dL first trimester or </w:t>
      </w:r>
      <w:r w:rsidR="00BE2083" w:rsidRPr="00BA1B7B">
        <w:rPr>
          <w:rFonts w:ascii="Arial" w:hAnsi="Arial" w:cs="Arial"/>
          <w:sz w:val="20"/>
          <w:szCs w:val="20"/>
        </w:rPr>
        <w:t xml:space="preserve">&lt;105mg/dL </w:t>
      </w:r>
      <w:r w:rsidRPr="00BA1B7B">
        <w:rPr>
          <w:rFonts w:ascii="Arial" w:hAnsi="Arial" w:cs="Arial"/>
          <w:sz w:val="20"/>
          <w:szCs w:val="20"/>
        </w:rPr>
        <w:t xml:space="preserve">second trimester and /or ferritin levels &lt; 30 supplementation </w:t>
      </w:r>
      <w:r w:rsidR="00BE2083" w:rsidRPr="00BA1B7B">
        <w:rPr>
          <w:rFonts w:ascii="Arial" w:hAnsi="Arial" w:cs="Arial"/>
          <w:sz w:val="20"/>
          <w:szCs w:val="20"/>
        </w:rPr>
        <w:t xml:space="preserve">is </w:t>
      </w:r>
      <w:r w:rsidRPr="00BA1B7B">
        <w:rPr>
          <w:rFonts w:ascii="Arial" w:hAnsi="Arial" w:cs="Arial"/>
          <w:sz w:val="20"/>
          <w:szCs w:val="20"/>
        </w:rPr>
        <w:t xml:space="preserve">recommended. </w:t>
      </w:r>
    </w:p>
    <w:p w14:paraId="547F5BC2" w14:textId="77777777" w:rsidR="00D64801" w:rsidRPr="00BA1B7B" w:rsidRDefault="00D64801" w:rsidP="00D64801">
      <w:pPr>
        <w:pStyle w:val="ListParagraph"/>
        <w:rPr>
          <w:rFonts w:ascii="Arial" w:hAnsi="Arial" w:cs="Arial"/>
          <w:sz w:val="20"/>
          <w:szCs w:val="20"/>
        </w:rPr>
      </w:pPr>
    </w:p>
    <w:p w14:paraId="34EFF493" w14:textId="451673B0" w:rsidR="00D64801" w:rsidRPr="00BA1B7B" w:rsidRDefault="00D64801" w:rsidP="004A22FD">
      <w:pPr>
        <w:pStyle w:val="ListParagraph"/>
        <w:numPr>
          <w:ilvl w:val="0"/>
          <w:numId w:val="48"/>
        </w:numPr>
        <w:spacing w:line="276" w:lineRule="auto"/>
        <w:rPr>
          <w:rFonts w:ascii="Arial" w:hAnsi="Arial" w:cs="Arial"/>
          <w:sz w:val="20"/>
          <w:szCs w:val="20"/>
        </w:rPr>
      </w:pPr>
      <w:r w:rsidRPr="00BA1B7B">
        <w:rPr>
          <w:rFonts w:ascii="Arial" w:hAnsi="Arial" w:cs="Arial"/>
          <w:sz w:val="20"/>
          <w:szCs w:val="20"/>
        </w:rPr>
        <w:t>If ferritin 30-70</w:t>
      </w:r>
      <w:r w:rsidR="007A209E" w:rsidRPr="00BA1B7B">
        <w:rPr>
          <w:rFonts w:ascii="Arial" w:hAnsi="Arial" w:cs="Arial"/>
          <w:sz w:val="20"/>
          <w:szCs w:val="20"/>
        </w:rPr>
        <w:t xml:space="preserve"> mg/dL</w:t>
      </w:r>
      <w:r w:rsidRPr="00BA1B7B">
        <w:rPr>
          <w:rFonts w:ascii="Arial" w:hAnsi="Arial" w:cs="Arial"/>
          <w:sz w:val="20"/>
          <w:szCs w:val="20"/>
        </w:rPr>
        <w:t xml:space="preserve"> at any time consider risk assessment for developing anaemia and risk of PPH </w:t>
      </w:r>
      <w:r w:rsidR="007A209E" w:rsidRPr="00BA1B7B">
        <w:rPr>
          <w:rFonts w:ascii="Arial" w:hAnsi="Arial" w:cs="Arial"/>
          <w:sz w:val="20"/>
          <w:szCs w:val="20"/>
        </w:rPr>
        <w:t>and consider supplementation.</w:t>
      </w:r>
    </w:p>
    <w:p w14:paraId="74866FBC" w14:textId="77777777" w:rsidR="00D64801" w:rsidRPr="00BA1B7B" w:rsidRDefault="00D64801" w:rsidP="00D64801">
      <w:pPr>
        <w:pStyle w:val="ListParagraph"/>
        <w:rPr>
          <w:rFonts w:ascii="Arial" w:hAnsi="Arial" w:cs="Arial"/>
          <w:sz w:val="20"/>
          <w:szCs w:val="20"/>
        </w:rPr>
      </w:pPr>
    </w:p>
    <w:p w14:paraId="3C753B7D" w14:textId="4DB2D934" w:rsidR="00D64801" w:rsidRDefault="00D64801" w:rsidP="002348E0">
      <w:pPr>
        <w:spacing w:line="276" w:lineRule="auto"/>
        <w:rPr>
          <w:rFonts w:ascii="Arial" w:hAnsi="Arial" w:cs="Arial"/>
          <w:b/>
          <w:bCs/>
          <w:sz w:val="20"/>
          <w:szCs w:val="20"/>
        </w:rPr>
      </w:pPr>
      <w:r w:rsidRPr="00BA1B7B">
        <w:rPr>
          <w:rFonts w:ascii="Arial" w:hAnsi="Arial" w:cs="Arial"/>
          <w:b/>
          <w:bCs/>
          <w:sz w:val="20"/>
          <w:szCs w:val="20"/>
        </w:rPr>
        <w:t>Treatment:</w:t>
      </w:r>
    </w:p>
    <w:p w14:paraId="61438319" w14:textId="77777777" w:rsidR="005F1FD7" w:rsidRPr="00BA1B7B" w:rsidRDefault="005F1FD7" w:rsidP="002348E0">
      <w:pPr>
        <w:spacing w:line="276" w:lineRule="auto"/>
        <w:rPr>
          <w:rFonts w:ascii="Arial" w:hAnsi="Arial" w:cs="Arial"/>
          <w:b/>
          <w:bCs/>
          <w:sz w:val="20"/>
          <w:szCs w:val="20"/>
        </w:rPr>
      </w:pPr>
    </w:p>
    <w:p w14:paraId="7877FF4D"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Oral iron supplementation should be commenced once a woman has been diagnosed as Iron deficient. </w:t>
      </w:r>
    </w:p>
    <w:p w14:paraId="2E8A2575" w14:textId="77777777" w:rsidR="00D64801" w:rsidRPr="00BA1B7B" w:rsidRDefault="00D64801" w:rsidP="004A22FD">
      <w:pPr>
        <w:pStyle w:val="ListParagraph"/>
        <w:numPr>
          <w:ilvl w:val="0"/>
          <w:numId w:val="38"/>
        </w:numPr>
        <w:spacing w:line="276" w:lineRule="auto"/>
        <w:rPr>
          <w:rFonts w:ascii="Arial" w:hAnsi="Arial" w:cs="Arial"/>
          <w:sz w:val="20"/>
          <w:szCs w:val="20"/>
        </w:rPr>
      </w:pPr>
      <w:r w:rsidRPr="00BA1B7B">
        <w:rPr>
          <w:rFonts w:ascii="Arial" w:hAnsi="Arial" w:cs="Arial"/>
          <w:sz w:val="20"/>
          <w:szCs w:val="20"/>
        </w:rPr>
        <w:t>Supplementation on alternative days is appropriate. Daily supplementation may not increase absorption and may contribute to side effects</w:t>
      </w:r>
    </w:p>
    <w:p w14:paraId="04CBD658" w14:textId="77777777" w:rsidR="00D64801" w:rsidRPr="00BA1B7B" w:rsidRDefault="00D64801" w:rsidP="004A22FD">
      <w:pPr>
        <w:pStyle w:val="ListParagraph"/>
        <w:numPr>
          <w:ilvl w:val="0"/>
          <w:numId w:val="38"/>
        </w:numPr>
        <w:spacing w:line="276" w:lineRule="auto"/>
        <w:rPr>
          <w:rFonts w:ascii="Arial" w:hAnsi="Arial" w:cs="Arial"/>
          <w:sz w:val="20"/>
          <w:szCs w:val="20"/>
        </w:rPr>
      </w:pPr>
      <w:r w:rsidRPr="00BA1B7B">
        <w:rPr>
          <w:rFonts w:ascii="Arial" w:hAnsi="Arial" w:cs="Arial"/>
          <w:sz w:val="20"/>
          <w:szCs w:val="20"/>
        </w:rPr>
        <w:t>60 - 100mg is the recommended minimum amount of elemental iron in a supplement to be taken on alternate days.</w:t>
      </w:r>
    </w:p>
    <w:p w14:paraId="1AEAA378" w14:textId="77777777" w:rsidR="00D64801" w:rsidRPr="00BA1B7B" w:rsidRDefault="00D64801" w:rsidP="004A22FD">
      <w:pPr>
        <w:pStyle w:val="ListParagraph"/>
        <w:numPr>
          <w:ilvl w:val="0"/>
          <w:numId w:val="38"/>
        </w:numPr>
        <w:spacing w:line="276" w:lineRule="auto"/>
        <w:rPr>
          <w:rFonts w:ascii="Arial" w:hAnsi="Arial" w:cs="Arial"/>
          <w:sz w:val="20"/>
          <w:szCs w:val="20"/>
        </w:rPr>
      </w:pPr>
      <w:r w:rsidRPr="00BA1B7B">
        <w:rPr>
          <w:rFonts w:ascii="Arial" w:hAnsi="Arial" w:cs="Arial"/>
          <w:sz w:val="20"/>
          <w:szCs w:val="20"/>
        </w:rPr>
        <w:t xml:space="preserve">Absorption is aided by Vitamin C and limited caffeine. </w:t>
      </w:r>
    </w:p>
    <w:p w14:paraId="368E0098" w14:textId="77777777" w:rsidR="00D64801" w:rsidRPr="00BA1B7B" w:rsidRDefault="00D64801" w:rsidP="004A22FD">
      <w:pPr>
        <w:pStyle w:val="ListParagraph"/>
        <w:numPr>
          <w:ilvl w:val="0"/>
          <w:numId w:val="38"/>
        </w:numPr>
        <w:spacing w:line="276" w:lineRule="auto"/>
        <w:rPr>
          <w:rFonts w:ascii="Arial" w:hAnsi="Arial" w:cs="Arial"/>
          <w:sz w:val="20"/>
          <w:szCs w:val="20"/>
        </w:rPr>
      </w:pPr>
      <w:r w:rsidRPr="00BA1B7B">
        <w:rPr>
          <w:rFonts w:ascii="Arial" w:hAnsi="Arial" w:cs="Arial"/>
          <w:sz w:val="20"/>
          <w:szCs w:val="20"/>
        </w:rPr>
        <w:t>Iron polymaltose (Maltofer) has a lower risk of gastrointestinal side effects and can be used as an alternative to regular iron supplements where iron salts are not tolerated.</w:t>
      </w:r>
    </w:p>
    <w:p w14:paraId="00B9A46F" w14:textId="77777777" w:rsidR="00D64801" w:rsidRPr="00BA1B7B" w:rsidRDefault="00D64801" w:rsidP="004A22FD">
      <w:pPr>
        <w:pStyle w:val="ListParagraph"/>
        <w:numPr>
          <w:ilvl w:val="0"/>
          <w:numId w:val="38"/>
        </w:numPr>
        <w:spacing w:line="276" w:lineRule="auto"/>
        <w:rPr>
          <w:rFonts w:ascii="Arial" w:hAnsi="Arial" w:cs="Arial"/>
          <w:sz w:val="20"/>
          <w:szCs w:val="20"/>
        </w:rPr>
      </w:pPr>
      <w:r w:rsidRPr="00BA1B7B">
        <w:rPr>
          <w:rFonts w:ascii="Arial" w:hAnsi="Arial" w:cs="Arial"/>
          <w:sz w:val="20"/>
          <w:szCs w:val="20"/>
        </w:rPr>
        <w:t xml:space="preserve">Eastern health supports increasing iron to 200mg alternate days depending on compliance and/or response prior to consideration of iron infusion. Refer to ‘Haemoglobin Assessment and Optimisation in Maternity: A guide for health professionals involved in antenatal care’ see link - </w:t>
      </w:r>
      <w:hyperlink r:id="rId140" w:history="1">
        <w:r w:rsidRPr="00BA1B7B">
          <w:rPr>
            <w:rStyle w:val="Hyperlink"/>
            <w:rFonts w:ascii="Arial" w:hAnsi="Arial" w:cs="Arial"/>
            <w:color w:val="auto"/>
            <w:sz w:val="20"/>
            <w:szCs w:val="20"/>
          </w:rPr>
          <w:t>https://transfusion.com.au/node/2234</w:t>
        </w:r>
      </w:hyperlink>
    </w:p>
    <w:p w14:paraId="6CE5E84D" w14:textId="676DDA1B" w:rsidR="00D64801" w:rsidRDefault="00D64801" w:rsidP="00D64801">
      <w:pPr>
        <w:spacing w:line="276" w:lineRule="auto"/>
        <w:ind w:left="360"/>
        <w:rPr>
          <w:rFonts w:ascii="Arial" w:hAnsi="Arial" w:cs="Arial"/>
          <w:sz w:val="20"/>
          <w:szCs w:val="20"/>
        </w:rPr>
      </w:pPr>
      <w:r w:rsidRPr="00BA1B7B">
        <w:rPr>
          <w:rFonts w:ascii="Arial" w:hAnsi="Arial" w:cs="Arial"/>
          <w:sz w:val="20"/>
          <w:szCs w:val="20"/>
        </w:rPr>
        <w:t xml:space="preserve"> Response to Treatment:</w:t>
      </w:r>
    </w:p>
    <w:p w14:paraId="7C55249B" w14:textId="77777777" w:rsidR="005F1FD7" w:rsidRPr="00BA1B7B" w:rsidRDefault="005F1FD7" w:rsidP="00D64801">
      <w:pPr>
        <w:spacing w:line="276" w:lineRule="auto"/>
        <w:ind w:left="360"/>
        <w:rPr>
          <w:rFonts w:ascii="Arial" w:hAnsi="Arial" w:cs="Arial"/>
          <w:sz w:val="20"/>
          <w:szCs w:val="20"/>
        </w:rPr>
      </w:pPr>
    </w:p>
    <w:p w14:paraId="4B0DB1BB" w14:textId="77777777" w:rsidR="00D64801" w:rsidRPr="00BA1B7B" w:rsidRDefault="00D64801" w:rsidP="004A22FD">
      <w:pPr>
        <w:pStyle w:val="ListParagraph"/>
        <w:numPr>
          <w:ilvl w:val="0"/>
          <w:numId w:val="39"/>
        </w:numPr>
        <w:spacing w:line="276" w:lineRule="auto"/>
        <w:rPr>
          <w:rFonts w:ascii="Arial" w:hAnsi="Arial" w:cs="Arial"/>
          <w:sz w:val="20"/>
          <w:szCs w:val="20"/>
        </w:rPr>
      </w:pPr>
      <w:r w:rsidRPr="00BA1B7B">
        <w:rPr>
          <w:rFonts w:ascii="Arial" w:hAnsi="Arial" w:cs="Arial"/>
          <w:sz w:val="20"/>
          <w:szCs w:val="20"/>
        </w:rPr>
        <w:lastRenderedPageBreak/>
        <w:t xml:space="preserve">4 weeks after commencing Iron supplementation, women require a repeat FBE and iron studies to assess compliance, correct administration and response to treatment. </w:t>
      </w:r>
    </w:p>
    <w:p w14:paraId="67683D8E" w14:textId="77777777" w:rsidR="00D64801" w:rsidRPr="00BA1B7B" w:rsidRDefault="00D64801" w:rsidP="004A22FD">
      <w:pPr>
        <w:pStyle w:val="ListParagraph"/>
        <w:numPr>
          <w:ilvl w:val="0"/>
          <w:numId w:val="39"/>
        </w:numPr>
        <w:spacing w:line="276" w:lineRule="auto"/>
        <w:rPr>
          <w:rFonts w:ascii="Arial" w:hAnsi="Arial" w:cs="Arial"/>
          <w:sz w:val="20"/>
          <w:szCs w:val="20"/>
        </w:rPr>
      </w:pPr>
      <w:r w:rsidRPr="00BA1B7B">
        <w:rPr>
          <w:rFonts w:ascii="Arial" w:hAnsi="Arial" w:cs="Arial"/>
          <w:sz w:val="20"/>
          <w:szCs w:val="20"/>
        </w:rPr>
        <w:t>If a significant improvement in ferritin levels is noted then the woman should be encouraged to persist with Iron supplementation where tolerated.</w:t>
      </w:r>
    </w:p>
    <w:p w14:paraId="250E5CA2" w14:textId="77777777" w:rsidR="00D64801" w:rsidRPr="00BA1B7B" w:rsidRDefault="00D64801" w:rsidP="004A22FD">
      <w:pPr>
        <w:pStyle w:val="ListParagraph"/>
        <w:numPr>
          <w:ilvl w:val="0"/>
          <w:numId w:val="39"/>
        </w:numPr>
        <w:spacing w:line="276" w:lineRule="auto"/>
        <w:rPr>
          <w:rFonts w:ascii="Arial" w:hAnsi="Arial" w:cs="Arial"/>
          <w:sz w:val="20"/>
          <w:szCs w:val="20"/>
        </w:rPr>
      </w:pPr>
      <w:r w:rsidRPr="00BA1B7B">
        <w:rPr>
          <w:rFonts w:ascii="Arial" w:hAnsi="Arial" w:cs="Arial"/>
          <w:sz w:val="20"/>
          <w:szCs w:val="20"/>
        </w:rPr>
        <w:t>If improvement is slow or patient increasingly symptomatic increase supplement to 200mg on alternate days, repeat bloods 2 weeks later.</w:t>
      </w:r>
    </w:p>
    <w:p w14:paraId="330489D8" w14:textId="77777777" w:rsidR="00D64801" w:rsidRPr="00BA1B7B" w:rsidRDefault="00D64801" w:rsidP="004A22FD">
      <w:pPr>
        <w:pStyle w:val="ListParagraph"/>
        <w:numPr>
          <w:ilvl w:val="0"/>
          <w:numId w:val="39"/>
        </w:numPr>
        <w:spacing w:line="276" w:lineRule="auto"/>
        <w:rPr>
          <w:rFonts w:ascii="Arial" w:hAnsi="Arial" w:cs="Arial"/>
          <w:sz w:val="20"/>
          <w:szCs w:val="20"/>
        </w:rPr>
      </w:pPr>
      <w:r w:rsidRPr="00BA1B7B">
        <w:rPr>
          <w:rFonts w:ascii="Arial" w:hAnsi="Arial" w:cs="Arial"/>
          <w:sz w:val="20"/>
          <w:szCs w:val="20"/>
        </w:rPr>
        <w:t xml:space="preserve"> An IV iron infusion should be considered were:</w:t>
      </w:r>
    </w:p>
    <w:p w14:paraId="5028F8E3" w14:textId="77777777" w:rsidR="00D64801" w:rsidRPr="00BA1B7B" w:rsidRDefault="00D64801" w:rsidP="004A22FD">
      <w:pPr>
        <w:pStyle w:val="ListParagraph"/>
        <w:numPr>
          <w:ilvl w:val="1"/>
          <w:numId w:val="39"/>
        </w:numPr>
        <w:spacing w:line="276" w:lineRule="auto"/>
        <w:rPr>
          <w:rFonts w:ascii="Arial" w:hAnsi="Arial" w:cs="Arial"/>
          <w:sz w:val="20"/>
          <w:szCs w:val="20"/>
        </w:rPr>
      </w:pPr>
      <w:r w:rsidRPr="00BA1B7B">
        <w:rPr>
          <w:rFonts w:ascii="Arial" w:hAnsi="Arial" w:cs="Arial"/>
          <w:sz w:val="20"/>
          <w:szCs w:val="20"/>
        </w:rPr>
        <w:t xml:space="preserve">Oral iron is not tolerated or not effective in improving iron deficiency and/or anaemia following an adequate trial of therapy at any gestation beyond the first trimester </w:t>
      </w:r>
    </w:p>
    <w:p w14:paraId="4EE0F900" w14:textId="77777777" w:rsidR="00D64801" w:rsidRPr="00BA1B7B" w:rsidRDefault="00D64801" w:rsidP="004A22FD">
      <w:pPr>
        <w:pStyle w:val="ListParagraph"/>
        <w:numPr>
          <w:ilvl w:val="1"/>
          <w:numId w:val="39"/>
        </w:numPr>
        <w:spacing w:line="276" w:lineRule="auto"/>
        <w:rPr>
          <w:rFonts w:ascii="Arial" w:hAnsi="Arial" w:cs="Arial"/>
          <w:sz w:val="20"/>
          <w:szCs w:val="20"/>
        </w:rPr>
      </w:pPr>
      <w:r w:rsidRPr="00BA1B7B">
        <w:rPr>
          <w:rFonts w:ascii="Arial" w:hAnsi="Arial" w:cs="Arial"/>
          <w:sz w:val="20"/>
          <w:szCs w:val="20"/>
        </w:rPr>
        <w:t>Iron deficiency and/or anaemia is severe and/or symptomatic to a degree that precludes a trial of oral iron</w:t>
      </w:r>
    </w:p>
    <w:p w14:paraId="27BD5B5B" w14:textId="77777777" w:rsidR="00D64801" w:rsidRPr="00BA1B7B" w:rsidRDefault="00D64801" w:rsidP="004A22FD">
      <w:pPr>
        <w:pStyle w:val="ListParagraph"/>
        <w:numPr>
          <w:ilvl w:val="1"/>
          <w:numId w:val="39"/>
        </w:numPr>
        <w:spacing w:line="276" w:lineRule="auto"/>
        <w:rPr>
          <w:rFonts w:ascii="Arial" w:hAnsi="Arial" w:cs="Arial"/>
          <w:sz w:val="20"/>
          <w:szCs w:val="20"/>
        </w:rPr>
      </w:pPr>
      <w:r w:rsidRPr="00BA1B7B">
        <w:rPr>
          <w:rFonts w:ascii="Arial" w:hAnsi="Arial" w:cs="Arial"/>
          <w:sz w:val="20"/>
          <w:szCs w:val="20"/>
        </w:rPr>
        <w:t>Oral iron is contra-indicated at any gestation beyond first trimester due to malabsorption</w:t>
      </w:r>
    </w:p>
    <w:p w14:paraId="26666A2F" w14:textId="77777777" w:rsidR="00D64801" w:rsidRPr="00BA1B7B" w:rsidRDefault="00D64801" w:rsidP="004A22FD">
      <w:pPr>
        <w:pStyle w:val="ListParagraph"/>
        <w:numPr>
          <w:ilvl w:val="1"/>
          <w:numId w:val="39"/>
        </w:numPr>
        <w:spacing w:line="276" w:lineRule="auto"/>
        <w:rPr>
          <w:rFonts w:ascii="Arial" w:hAnsi="Arial" w:cs="Arial"/>
          <w:sz w:val="20"/>
          <w:szCs w:val="20"/>
        </w:rPr>
      </w:pPr>
      <w:r w:rsidRPr="00BA1B7B">
        <w:rPr>
          <w:rFonts w:ascii="Arial" w:hAnsi="Arial" w:cs="Arial"/>
          <w:sz w:val="20"/>
          <w:szCs w:val="20"/>
        </w:rPr>
        <w:t>The woman is significantly iron deficient and/or anaemic is at an advanced gestation and iron status must be optimised urgently for fetal benefit and delivery planning</w:t>
      </w:r>
    </w:p>
    <w:p w14:paraId="4204426C" w14:textId="77777777" w:rsidR="00D64801" w:rsidRPr="00BA1B7B" w:rsidRDefault="00D64801" w:rsidP="00D64801">
      <w:pPr>
        <w:pStyle w:val="ListParagraph"/>
        <w:spacing w:line="276" w:lineRule="auto"/>
        <w:jc w:val="center"/>
        <w:rPr>
          <w:rFonts w:ascii="Arial" w:hAnsi="Arial" w:cs="Arial"/>
          <w:b/>
          <w:sz w:val="20"/>
          <w:szCs w:val="20"/>
        </w:rPr>
      </w:pPr>
    </w:p>
    <w:p w14:paraId="38750FAA" w14:textId="0CE1C5E9" w:rsidR="00D64801" w:rsidRPr="00BA1B7B" w:rsidRDefault="00D64801" w:rsidP="00D64801">
      <w:pPr>
        <w:pStyle w:val="ListParagraph"/>
        <w:spacing w:line="276" w:lineRule="auto"/>
        <w:jc w:val="center"/>
        <w:rPr>
          <w:rFonts w:ascii="Arial" w:hAnsi="Arial" w:cs="Arial"/>
          <w:b/>
          <w:sz w:val="20"/>
          <w:szCs w:val="20"/>
        </w:rPr>
      </w:pPr>
      <w:r w:rsidRPr="00BA1B7B">
        <w:rPr>
          <w:rFonts w:ascii="Arial" w:hAnsi="Arial" w:cs="Arial"/>
          <w:b/>
          <w:sz w:val="20"/>
          <w:szCs w:val="20"/>
        </w:rPr>
        <w:t>Intravenous Iron infusions are contraindicated in the first trimester</w:t>
      </w:r>
    </w:p>
    <w:p w14:paraId="206E0770" w14:textId="77777777" w:rsidR="007A209E" w:rsidRPr="00BA1B7B" w:rsidRDefault="007A209E" w:rsidP="007A209E">
      <w:pPr>
        <w:spacing w:line="276" w:lineRule="auto"/>
        <w:rPr>
          <w:rFonts w:ascii="Arial" w:hAnsi="Arial" w:cs="Arial"/>
          <w:b/>
          <w:bCs/>
          <w:sz w:val="20"/>
          <w:szCs w:val="20"/>
        </w:rPr>
      </w:pPr>
      <w:r w:rsidRPr="00BA1B7B">
        <w:rPr>
          <w:rFonts w:ascii="Arial" w:hAnsi="Arial" w:cs="Arial"/>
          <w:b/>
          <w:bCs/>
          <w:sz w:val="20"/>
          <w:szCs w:val="20"/>
        </w:rPr>
        <w:t>To refer a woman in your care for an iron infusion:</w:t>
      </w:r>
    </w:p>
    <w:p w14:paraId="3820256F" w14:textId="77777777" w:rsidR="007A209E" w:rsidRPr="00BA1B7B" w:rsidRDefault="007A209E" w:rsidP="007A209E">
      <w:pPr>
        <w:spacing w:line="276" w:lineRule="auto"/>
        <w:rPr>
          <w:rFonts w:ascii="Arial" w:hAnsi="Arial" w:cs="Arial"/>
          <w:sz w:val="20"/>
          <w:szCs w:val="20"/>
        </w:rPr>
      </w:pPr>
    </w:p>
    <w:p w14:paraId="4448F3AF" w14:textId="77777777" w:rsidR="007A209E" w:rsidRPr="00BA1B7B" w:rsidRDefault="007A209E" w:rsidP="007A209E">
      <w:pPr>
        <w:spacing w:line="276" w:lineRule="auto"/>
        <w:rPr>
          <w:rFonts w:ascii="Arial" w:hAnsi="Arial" w:cs="Arial"/>
          <w:sz w:val="20"/>
          <w:szCs w:val="20"/>
        </w:rPr>
      </w:pPr>
      <w:r w:rsidRPr="00BA1B7B">
        <w:rPr>
          <w:rFonts w:ascii="Arial" w:hAnsi="Arial" w:cs="Arial"/>
          <w:sz w:val="20"/>
          <w:szCs w:val="20"/>
        </w:rPr>
        <w:t xml:space="preserve">Please </w:t>
      </w:r>
      <w:r w:rsidRPr="00BA1B7B">
        <w:rPr>
          <w:rFonts w:ascii="Arial" w:hAnsi="Arial" w:cs="Arial"/>
          <w:b/>
          <w:sz w:val="20"/>
          <w:szCs w:val="20"/>
          <w:u w:val="single"/>
        </w:rPr>
        <w:t>FAX</w:t>
      </w:r>
      <w:r w:rsidRPr="00BA1B7B">
        <w:rPr>
          <w:rFonts w:ascii="Arial" w:hAnsi="Arial" w:cs="Arial"/>
          <w:sz w:val="20"/>
          <w:szCs w:val="20"/>
        </w:rPr>
        <w:t xml:space="preserve"> the woman’s name, Hospital UR, contact number and most recent pathology results (Hb and Ferritin levels) to the appropriate site below. The woman will be contacted by her birthing hospital to organize an appointment for an infusion. </w:t>
      </w:r>
    </w:p>
    <w:p w14:paraId="3DB94AAE" w14:textId="77777777" w:rsidR="007A209E" w:rsidRPr="00BA1B7B" w:rsidRDefault="007A209E" w:rsidP="007A209E">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4512"/>
        <w:gridCol w:w="4504"/>
      </w:tblGrid>
      <w:tr w:rsidR="00BA1B7B" w:rsidRPr="00BA1B7B" w14:paraId="22330517" w14:textId="77777777" w:rsidTr="00BB42CB">
        <w:tc>
          <w:tcPr>
            <w:tcW w:w="4621" w:type="dxa"/>
          </w:tcPr>
          <w:p w14:paraId="0872C158" w14:textId="77777777" w:rsidR="007A209E" w:rsidRPr="00BA1B7B" w:rsidRDefault="007A209E" w:rsidP="00BB42CB">
            <w:pPr>
              <w:spacing w:line="276" w:lineRule="auto"/>
              <w:rPr>
                <w:rFonts w:ascii="Arial" w:hAnsi="Arial" w:cs="Arial"/>
                <w:sz w:val="20"/>
                <w:szCs w:val="20"/>
              </w:rPr>
            </w:pPr>
            <w:r w:rsidRPr="00BA1B7B">
              <w:rPr>
                <w:rFonts w:ascii="Arial" w:hAnsi="Arial" w:cs="Arial"/>
                <w:sz w:val="20"/>
                <w:szCs w:val="20"/>
              </w:rPr>
              <w:t>Booked to birth at Angliss Hospital</w:t>
            </w:r>
          </w:p>
        </w:tc>
        <w:tc>
          <w:tcPr>
            <w:tcW w:w="4621" w:type="dxa"/>
          </w:tcPr>
          <w:p w14:paraId="356FEF10" w14:textId="77777777" w:rsidR="007A209E" w:rsidRPr="00BA1B7B" w:rsidRDefault="007A209E" w:rsidP="00BB42CB">
            <w:pPr>
              <w:spacing w:after="160" w:line="276" w:lineRule="auto"/>
              <w:rPr>
                <w:rFonts w:ascii="Arial" w:hAnsi="Arial" w:cs="Arial"/>
                <w:sz w:val="20"/>
                <w:szCs w:val="20"/>
              </w:rPr>
            </w:pPr>
            <w:r w:rsidRPr="00BA1B7B">
              <w:rPr>
                <w:rFonts w:ascii="Arial" w:eastAsia="Calibri" w:hAnsi="Arial" w:cs="Arial"/>
                <w:sz w:val="20"/>
                <w:szCs w:val="20"/>
              </w:rPr>
              <w:t>9764 6193</w:t>
            </w:r>
          </w:p>
        </w:tc>
      </w:tr>
      <w:tr w:rsidR="00BA1B7B" w:rsidRPr="00BA1B7B" w14:paraId="466F5C29" w14:textId="77777777" w:rsidTr="00BB42CB">
        <w:tc>
          <w:tcPr>
            <w:tcW w:w="4621" w:type="dxa"/>
          </w:tcPr>
          <w:p w14:paraId="1A5719C0" w14:textId="77777777" w:rsidR="007A209E" w:rsidRPr="00BA1B7B" w:rsidRDefault="007A209E" w:rsidP="00BB42CB">
            <w:pPr>
              <w:spacing w:line="276" w:lineRule="auto"/>
              <w:rPr>
                <w:rFonts w:ascii="Arial" w:hAnsi="Arial" w:cs="Arial"/>
                <w:sz w:val="20"/>
                <w:szCs w:val="20"/>
              </w:rPr>
            </w:pPr>
            <w:r w:rsidRPr="00BA1B7B">
              <w:rPr>
                <w:rFonts w:ascii="Arial" w:hAnsi="Arial" w:cs="Arial"/>
                <w:sz w:val="20"/>
                <w:szCs w:val="20"/>
              </w:rPr>
              <w:t>Booked to Birth at Box Hill Hospital</w:t>
            </w:r>
          </w:p>
        </w:tc>
        <w:tc>
          <w:tcPr>
            <w:tcW w:w="4621" w:type="dxa"/>
          </w:tcPr>
          <w:p w14:paraId="1A839ECA" w14:textId="77777777" w:rsidR="007A209E" w:rsidRPr="00BA1B7B" w:rsidRDefault="007A209E" w:rsidP="00BB42CB">
            <w:pPr>
              <w:spacing w:line="276" w:lineRule="auto"/>
              <w:rPr>
                <w:rFonts w:ascii="Arial" w:hAnsi="Arial" w:cs="Arial"/>
                <w:sz w:val="20"/>
                <w:szCs w:val="20"/>
              </w:rPr>
            </w:pPr>
            <w:r w:rsidRPr="00BA1B7B">
              <w:rPr>
                <w:rFonts w:ascii="Arial" w:eastAsia="Calibri" w:hAnsi="Arial" w:cs="Arial"/>
                <w:sz w:val="20"/>
                <w:szCs w:val="20"/>
              </w:rPr>
              <w:t>9975 6663</w:t>
            </w:r>
          </w:p>
        </w:tc>
      </w:tr>
    </w:tbl>
    <w:p w14:paraId="4C72442D" w14:textId="77777777" w:rsidR="007A209E" w:rsidRPr="00BA1B7B" w:rsidRDefault="007A209E" w:rsidP="007A209E">
      <w:pPr>
        <w:spacing w:line="276" w:lineRule="auto"/>
        <w:rPr>
          <w:rFonts w:ascii="Arial" w:hAnsi="Arial" w:cs="Arial"/>
          <w:b/>
          <w:sz w:val="20"/>
          <w:szCs w:val="20"/>
        </w:rPr>
      </w:pPr>
    </w:p>
    <w:p w14:paraId="7DE6ABD8" w14:textId="3EB774CB" w:rsidR="00D64801" w:rsidRDefault="00D64801" w:rsidP="00D64801">
      <w:pPr>
        <w:spacing w:line="276" w:lineRule="auto"/>
        <w:rPr>
          <w:rFonts w:ascii="Arial" w:hAnsi="Arial" w:cs="Arial"/>
          <w:b/>
          <w:bCs/>
          <w:sz w:val="20"/>
          <w:szCs w:val="20"/>
        </w:rPr>
      </w:pPr>
      <w:r w:rsidRPr="00BA1B7B">
        <w:rPr>
          <w:rFonts w:ascii="Arial" w:hAnsi="Arial" w:cs="Arial"/>
          <w:b/>
          <w:bCs/>
          <w:sz w:val="20"/>
          <w:szCs w:val="20"/>
        </w:rPr>
        <w:t>Intravenous Iron Infusions</w:t>
      </w:r>
    </w:p>
    <w:p w14:paraId="1F085BF3" w14:textId="77777777" w:rsidR="005F1FD7" w:rsidRPr="00BA1B7B" w:rsidRDefault="005F1FD7" w:rsidP="00D64801">
      <w:pPr>
        <w:spacing w:line="276" w:lineRule="auto"/>
        <w:rPr>
          <w:rFonts w:ascii="Arial" w:hAnsi="Arial" w:cs="Arial"/>
          <w:b/>
          <w:bCs/>
          <w:sz w:val="20"/>
          <w:szCs w:val="20"/>
        </w:rPr>
      </w:pPr>
    </w:p>
    <w:p w14:paraId="155B7B6D" w14:textId="77777777" w:rsidR="00D64801" w:rsidRPr="00BA1B7B" w:rsidRDefault="00D64801" w:rsidP="004A22FD">
      <w:pPr>
        <w:pStyle w:val="ListParagraph"/>
        <w:numPr>
          <w:ilvl w:val="0"/>
          <w:numId w:val="40"/>
        </w:numPr>
        <w:spacing w:line="276" w:lineRule="auto"/>
        <w:rPr>
          <w:rFonts w:ascii="Arial" w:hAnsi="Arial" w:cs="Arial"/>
          <w:sz w:val="20"/>
          <w:szCs w:val="20"/>
        </w:rPr>
      </w:pPr>
      <w:r w:rsidRPr="00BA1B7B">
        <w:rPr>
          <w:rFonts w:ascii="Arial" w:hAnsi="Arial" w:cs="Arial"/>
          <w:sz w:val="20"/>
          <w:szCs w:val="20"/>
        </w:rPr>
        <w:t xml:space="preserve">Women will be contacted, and an IV infusion performed at Box Hill or Angliss Hospitals. </w:t>
      </w:r>
    </w:p>
    <w:p w14:paraId="719AC51C" w14:textId="77777777" w:rsidR="00D64801" w:rsidRPr="00BA1B7B" w:rsidRDefault="00D64801" w:rsidP="004A22FD">
      <w:pPr>
        <w:pStyle w:val="ListParagraph"/>
        <w:numPr>
          <w:ilvl w:val="0"/>
          <w:numId w:val="40"/>
        </w:numPr>
        <w:spacing w:line="276" w:lineRule="auto"/>
        <w:rPr>
          <w:rFonts w:ascii="Arial" w:hAnsi="Arial" w:cs="Arial"/>
          <w:sz w:val="20"/>
          <w:szCs w:val="20"/>
        </w:rPr>
      </w:pPr>
      <w:r w:rsidRPr="00BA1B7B">
        <w:rPr>
          <w:rFonts w:ascii="Arial" w:hAnsi="Arial" w:cs="Arial"/>
          <w:sz w:val="20"/>
          <w:szCs w:val="20"/>
        </w:rPr>
        <w:t xml:space="preserve">The procedure does not require overnight admission and will be performed within the maternity unit setting. </w:t>
      </w:r>
    </w:p>
    <w:p w14:paraId="5988AC12" w14:textId="77777777" w:rsidR="00D64801" w:rsidRPr="00BA1B7B" w:rsidRDefault="00D64801" w:rsidP="004A22FD">
      <w:pPr>
        <w:pStyle w:val="ListParagraph"/>
        <w:numPr>
          <w:ilvl w:val="0"/>
          <w:numId w:val="40"/>
        </w:numPr>
        <w:spacing w:line="276" w:lineRule="auto"/>
        <w:rPr>
          <w:rFonts w:ascii="Arial" w:hAnsi="Arial" w:cs="Arial"/>
          <w:sz w:val="20"/>
          <w:szCs w:val="20"/>
        </w:rPr>
      </w:pPr>
      <w:r w:rsidRPr="00BA1B7B">
        <w:rPr>
          <w:rFonts w:ascii="Arial" w:hAnsi="Arial" w:cs="Arial"/>
          <w:sz w:val="20"/>
          <w:szCs w:val="20"/>
        </w:rPr>
        <w:t>Women will be consented by the prescribing physician on the day</w:t>
      </w:r>
    </w:p>
    <w:p w14:paraId="6B3E13C4" w14:textId="77777777" w:rsidR="00D64801" w:rsidRPr="00BA1B7B" w:rsidRDefault="00D64801" w:rsidP="004A22FD">
      <w:pPr>
        <w:pStyle w:val="ListParagraph"/>
        <w:numPr>
          <w:ilvl w:val="0"/>
          <w:numId w:val="40"/>
        </w:numPr>
        <w:spacing w:line="276" w:lineRule="auto"/>
        <w:rPr>
          <w:rFonts w:ascii="Arial" w:hAnsi="Arial" w:cs="Arial"/>
          <w:sz w:val="20"/>
          <w:szCs w:val="20"/>
        </w:rPr>
      </w:pPr>
      <w:r w:rsidRPr="00BA1B7B">
        <w:rPr>
          <w:rFonts w:ascii="Arial" w:hAnsi="Arial" w:cs="Arial"/>
          <w:sz w:val="20"/>
          <w:szCs w:val="20"/>
        </w:rPr>
        <w:t xml:space="preserve">At Eastern Health, pregnant women requiring an iron infusion will receive Ferric Carboxymaltose (Ferrinject) unless contraindications are present. A 1000mg dose of Ferric Carboxymaltose will be administered during the procedure. </w:t>
      </w:r>
    </w:p>
    <w:p w14:paraId="47892F41" w14:textId="77777777" w:rsidR="00D64801" w:rsidRPr="00BA1B7B" w:rsidRDefault="00D64801" w:rsidP="004A22FD">
      <w:pPr>
        <w:pStyle w:val="ListParagraph"/>
        <w:numPr>
          <w:ilvl w:val="0"/>
          <w:numId w:val="40"/>
        </w:numPr>
        <w:spacing w:line="276" w:lineRule="auto"/>
        <w:rPr>
          <w:rFonts w:ascii="Arial" w:hAnsi="Arial" w:cs="Arial"/>
          <w:sz w:val="20"/>
          <w:szCs w:val="20"/>
        </w:rPr>
      </w:pPr>
      <w:r w:rsidRPr="00BA1B7B">
        <w:rPr>
          <w:rFonts w:ascii="Arial" w:hAnsi="Arial" w:cs="Arial"/>
          <w:sz w:val="20"/>
          <w:szCs w:val="20"/>
        </w:rPr>
        <w:t xml:space="preserve">Oral Iron supplementation should be ceased  following iron infusion </w:t>
      </w:r>
    </w:p>
    <w:p w14:paraId="74E69D90" w14:textId="77777777" w:rsidR="00D64801" w:rsidRPr="00BA1B7B" w:rsidRDefault="00D64801" w:rsidP="004A22FD">
      <w:pPr>
        <w:pStyle w:val="ListParagraph"/>
        <w:numPr>
          <w:ilvl w:val="0"/>
          <w:numId w:val="40"/>
        </w:numPr>
        <w:spacing w:line="276" w:lineRule="auto"/>
        <w:rPr>
          <w:rFonts w:ascii="Arial" w:hAnsi="Arial" w:cs="Arial"/>
          <w:sz w:val="20"/>
          <w:szCs w:val="20"/>
        </w:rPr>
      </w:pPr>
      <w:r w:rsidRPr="00BA1B7B">
        <w:rPr>
          <w:rFonts w:ascii="Arial" w:hAnsi="Arial" w:cs="Arial"/>
          <w:sz w:val="20"/>
          <w:szCs w:val="20"/>
        </w:rPr>
        <w:t xml:space="preserve">6-8 weeks post infusion, a repeat FBE and serum ferritin should be collected to assess response to treatment. Further oral supplementation or IV infusion may be required to replenish iron stores and fulfil the increased demands of pregnancy. </w:t>
      </w:r>
    </w:p>
    <w:p w14:paraId="5AE29284" w14:textId="77777777" w:rsidR="00D64801" w:rsidRPr="00BA1B7B" w:rsidRDefault="00D64801" w:rsidP="00D64801">
      <w:pPr>
        <w:spacing w:line="276" w:lineRule="auto"/>
        <w:rPr>
          <w:rFonts w:ascii="Arial" w:hAnsi="Arial" w:cs="Arial"/>
          <w:sz w:val="20"/>
          <w:szCs w:val="20"/>
        </w:rPr>
      </w:pPr>
    </w:p>
    <w:p w14:paraId="411BBEC0" w14:textId="7DC71C0A" w:rsidR="00D64801" w:rsidRPr="00BA1B7B" w:rsidRDefault="00D64801"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79" w:name="_Toc120614313"/>
      <w:r w:rsidRPr="00BA1B7B">
        <w:rPr>
          <w:rFonts w:ascii="Arial" w:eastAsia="Times New Roman" w:hAnsi="Arial" w:cs="Arial"/>
          <w:b/>
          <w:bCs/>
          <w:sz w:val="20"/>
          <w:szCs w:val="20"/>
          <w:lang w:eastAsia="en-AU"/>
        </w:rPr>
        <w:t>7.5 Folate Deficiency</w:t>
      </w:r>
      <w:bookmarkEnd w:id="79"/>
    </w:p>
    <w:p w14:paraId="60719BB2"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 xml:space="preserve">Folate deficiency is rarely seen in women that have resided in Australia for the majority of their life. This fact is due to the addition of supplementary folate to a large variety of every day foods produced within the country. Pregnancy and lactation are both associated with increased folate demands on the woman, and preferential delivery of folate to the fetus may result in severe maternal deficiency in the presence of normal folate status in the baby. </w:t>
      </w:r>
    </w:p>
    <w:p w14:paraId="016EF49A"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RANZCOG recommends a minimum of 0.4mg daily of folate supplementation 1-month pre pregnancy and at least the first 3 months of pregnancy. For women that have a high risk of neural tube defects in pregnancy, increased BMI &gt; 30, haemolysis (eg haemoglobinopathy); or those women who take folate depleting medications or have a diagnosed folate deficiency, 5mg daily of Folate supplementation is recommended. </w:t>
      </w:r>
    </w:p>
    <w:p w14:paraId="3014BF01" w14:textId="774722FE" w:rsidR="005F1FD7" w:rsidRDefault="00D64801" w:rsidP="00D64801">
      <w:pPr>
        <w:spacing w:line="276" w:lineRule="auto"/>
        <w:rPr>
          <w:rFonts w:ascii="Arial" w:hAnsi="Arial" w:cs="Arial"/>
          <w:sz w:val="20"/>
          <w:szCs w:val="20"/>
        </w:rPr>
      </w:pPr>
      <w:r w:rsidRPr="00BA1B7B">
        <w:rPr>
          <w:rFonts w:ascii="Arial" w:hAnsi="Arial" w:cs="Arial"/>
          <w:sz w:val="20"/>
          <w:szCs w:val="20"/>
        </w:rPr>
        <w:t>All women with folate deficiency should be referred to be reviewed by haematology/obstetric medicine.</w:t>
      </w:r>
    </w:p>
    <w:p w14:paraId="7F167064" w14:textId="6339D2BF" w:rsidR="005F1FD7" w:rsidRDefault="005F1FD7" w:rsidP="00D64801">
      <w:pPr>
        <w:spacing w:line="276" w:lineRule="auto"/>
        <w:rPr>
          <w:rFonts w:ascii="Arial" w:hAnsi="Arial" w:cs="Arial"/>
          <w:sz w:val="20"/>
          <w:szCs w:val="20"/>
        </w:rPr>
      </w:pPr>
    </w:p>
    <w:p w14:paraId="3C56C480" w14:textId="2B43BB1C" w:rsidR="005F1FD7" w:rsidRDefault="005F1FD7" w:rsidP="00D64801">
      <w:pPr>
        <w:spacing w:line="276" w:lineRule="auto"/>
        <w:rPr>
          <w:rFonts w:ascii="Arial" w:hAnsi="Arial" w:cs="Arial"/>
          <w:sz w:val="20"/>
          <w:szCs w:val="20"/>
        </w:rPr>
      </w:pPr>
    </w:p>
    <w:p w14:paraId="606DFB89" w14:textId="41595F21" w:rsidR="005F1FD7" w:rsidRDefault="005F1FD7" w:rsidP="00D64801">
      <w:pPr>
        <w:spacing w:line="276" w:lineRule="auto"/>
        <w:rPr>
          <w:rFonts w:ascii="Arial" w:hAnsi="Arial" w:cs="Arial"/>
          <w:sz w:val="20"/>
          <w:szCs w:val="20"/>
        </w:rPr>
      </w:pPr>
    </w:p>
    <w:p w14:paraId="1CA33CB2" w14:textId="45DC5FE9" w:rsidR="005F1FD7" w:rsidRDefault="005F1FD7" w:rsidP="00D64801">
      <w:pPr>
        <w:spacing w:line="276" w:lineRule="auto"/>
        <w:rPr>
          <w:rFonts w:ascii="Arial" w:hAnsi="Arial" w:cs="Arial"/>
          <w:sz w:val="20"/>
          <w:szCs w:val="20"/>
        </w:rPr>
      </w:pPr>
    </w:p>
    <w:p w14:paraId="32585592" w14:textId="77777777" w:rsidR="005F1FD7" w:rsidRPr="00BA1B7B" w:rsidRDefault="005F1FD7" w:rsidP="00D64801">
      <w:pPr>
        <w:spacing w:line="276" w:lineRule="auto"/>
        <w:rPr>
          <w:rFonts w:ascii="Arial" w:hAnsi="Arial" w:cs="Arial"/>
          <w:sz w:val="20"/>
          <w:szCs w:val="20"/>
        </w:rPr>
      </w:pPr>
    </w:p>
    <w:p w14:paraId="522D3EC5" w14:textId="69E72EC9" w:rsidR="00D64801" w:rsidRPr="00BA1B7B" w:rsidRDefault="00670C9D"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0" w:name="_Toc120614314"/>
      <w:r w:rsidRPr="00BA1B7B">
        <w:rPr>
          <w:rFonts w:ascii="Arial" w:eastAsia="Times New Roman" w:hAnsi="Arial" w:cs="Arial"/>
          <w:b/>
          <w:bCs/>
          <w:sz w:val="20"/>
          <w:szCs w:val="20"/>
          <w:lang w:eastAsia="en-AU"/>
        </w:rPr>
        <w:t>7.6 Vitamin B</w:t>
      </w:r>
      <w:r w:rsidR="00D64801" w:rsidRPr="00BA1B7B">
        <w:rPr>
          <w:rFonts w:ascii="Arial" w:eastAsia="Times New Roman" w:hAnsi="Arial" w:cs="Arial"/>
          <w:b/>
          <w:bCs/>
          <w:sz w:val="20"/>
          <w:szCs w:val="20"/>
          <w:lang w:eastAsia="en-AU"/>
        </w:rPr>
        <w:t>12 deficiency</w:t>
      </w:r>
      <w:bookmarkEnd w:id="80"/>
      <w:r w:rsidR="00D64801" w:rsidRPr="00BA1B7B">
        <w:rPr>
          <w:rFonts w:ascii="Arial" w:eastAsia="Times New Roman" w:hAnsi="Arial" w:cs="Arial"/>
          <w:b/>
          <w:bCs/>
          <w:sz w:val="20"/>
          <w:szCs w:val="20"/>
          <w:lang w:eastAsia="en-AU"/>
        </w:rPr>
        <w:t xml:space="preserve"> </w:t>
      </w:r>
    </w:p>
    <w:p w14:paraId="2CCDE256"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Vitamin B12 is essential for infant neurological development. The fetus requires adequate hepatic maternal B12 stores for appropriate neurological development and if born deficient will fail to reach neurological milestones. </w:t>
      </w:r>
    </w:p>
    <w:p w14:paraId="7170BDC1"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Women who are most at risk for B12 deficiency include</w:t>
      </w:r>
    </w:p>
    <w:p w14:paraId="0D2C7E04" w14:textId="77777777" w:rsidR="00D64801" w:rsidRPr="00BA1B7B" w:rsidRDefault="00D64801" w:rsidP="004A22FD">
      <w:pPr>
        <w:pStyle w:val="ListParagraph"/>
        <w:numPr>
          <w:ilvl w:val="0"/>
          <w:numId w:val="41"/>
        </w:numPr>
        <w:spacing w:line="276" w:lineRule="auto"/>
        <w:rPr>
          <w:rFonts w:ascii="Arial" w:hAnsi="Arial" w:cs="Arial"/>
          <w:sz w:val="20"/>
          <w:szCs w:val="20"/>
        </w:rPr>
      </w:pPr>
      <w:r w:rsidRPr="00BA1B7B">
        <w:rPr>
          <w:rFonts w:ascii="Arial" w:hAnsi="Arial" w:cs="Arial"/>
          <w:sz w:val="20"/>
          <w:szCs w:val="20"/>
        </w:rPr>
        <w:t>Vegetarians</w:t>
      </w:r>
    </w:p>
    <w:p w14:paraId="7EEB1E50" w14:textId="77777777" w:rsidR="00D64801" w:rsidRPr="00BA1B7B" w:rsidRDefault="00D64801" w:rsidP="004A22FD">
      <w:pPr>
        <w:pStyle w:val="ListParagraph"/>
        <w:numPr>
          <w:ilvl w:val="0"/>
          <w:numId w:val="41"/>
        </w:numPr>
        <w:spacing w:line="276" w:lineRule="auto"/>
        <w:rPr>
          <w:rFonts w:ascii="Arial" w:hAnsi="Arial" w:cs="Arial"/>
          <w:sz w:val="20"/>
          <w:szCs w:val="20"/>
        </w:rPr>
      </w:pPr>
      <w:r w:rsidRPr="00BA1B7B">
        <w:rPr>
          <w:rFonts w:ascii="Arial" w:hAnsi="Arial" w:cs="Arial"/>
          <w:sz w:val="20"/>
          <w:szCs w:val="20"/>
        </w:rPr>
        <w:t>Vegans</w:t>
      </w:r>
    </w:p>
    <w:p w14:paraId="1CF6F27A" w14:textId="77777777" w:rsidR="00D64801" w:rsidRPr="00BA1B7B" w:rsidRDefault="00D64801" w:rsidP="004A22FD">
      <w:pPr>
        <w:pStyle w:val="ListParagraph"/>
        <w:numPr>
          <w:ilvl w:val="0"/>
          <w:numId w:val="41"/>
        </w:numPr>
        <w:spacing w:line="276" w:lineRule="auto"/>
        <w:rPr>
          <w:rFonts w:ascii="Arial" w:hAnsi="Arial" w:cs="Arial"/>
          <w:sz w:val="20"/>
          <w:szCs w:val="20"/>
        </w:rPr>
      </w:pPr>
      <w:r w:rsidRPr="00BA1B7B">
        <w:rPr>
          <w:rFonts w:ascii="Arial" w:hAnsi="Arial" w:cs="Arial"/>
          <w:sz w:val="20"/>
          <w:szCs w:val="20"/>
        </w:rPr>
        <w:t>Women with gastrointestinal conditions such as hypochlorhydria or coeliac disease</w:t>
      </w:r>
    </w:p>
    <w:p w14:paraId="48C0FF45" w14:textId="77777777" w:rsidR="00D64801" w:rsidRPr="00BA1B7B" w:rsidRDefault="00D64801" w:rsidP="004A22FD">
      <w:pPr>
        <w:pStyle w:val="ListParagraph"/>
        <w:numPr>
          <w:ilvl w:val="0"/>
          <w:numId w:val="41"/>
        </w:numPr>
        <w:spacing w:line="276" w:lineRule="auto"/>
        <w:rPr>
          <w:rFonts w:ascii="Arial" w:hAnsi="Arial" w:cs="Arial"/>
          <w:sz w:val="20"/>
          <w:szCs w:val="20"/>
        </w:rPr>
      </w:pPr>
      <w:r w:rsidRPr="00BA1B7B">
        <w:rPr>
          <w:rFonts w:ascii="Arial" w:hAnsi="Arial" w:cs="Arial"/>
          <w:sz w:val="20"/>
          <w:szCs w:val="20"/>
        </w:rPr>
        <w:t>Women who have undergone bariatric surgery (gastric bypass)</w:t>
      </w:r>
    </w:p>
    <w:p w14:paraId="2F0DE8D0" w14:textId="77777777" w:rsidR="00D64801" w:rsidRPr="00BA1B7B" w:rsidRDefault="00D64801" w:rsidP="004A22FD">
      <w:pPr>
        <w:pStyle w:val="ListParagraph"/>
        <w:numPr>
          <w:ilvl w:val="0"/>
          <w:numId w:val="41"/>
        </w:numPr>
        <w:spacing w:line="276" w:lineRule="auto"/>
        <w:rPr>
          <w:rFonts w:ascii="Arial" w:hAnsi="Arial" w:cs="Arial"/>
          <w:sz w:val="20"/>
          <w:szCs w:val="20"/>
        </w:rPr>
      </w:pPr>
      <w:r w:rsidRPr="00BA1B7B">
        <w:rPr>
          <w:rFonts w:ascii="Arial" w:hAnsi="Arial" w:cs="Arial"/>
          <w:sz w:val="20"/>
          <w:szCs w:val="20"/>
        </w:rPr>
        <w:t>Women with Crohn’s disease</w:t>
      </w:r>
    </w:p>
    <w:p w14:paraId="43A938DF" w14:textId="77777777" w:rsidR="00D64801" w:rsidRPr="00BA1B7B" w:rsidRDefault="00D64801" w:rsidP="004A22FD">
      <w:pPr>
        <w:pStyle w:val="ListParagraph"/>
        <w:numPr>
          <w:ilvl w:val="0"/>
          <w:numId w:val="41"/>
        </w:numPr>
        <w:spacing w:line="276" w:lineRule="auto"/>
        <w:rPr>
          <w:rFonts w:ascii="Arial" w:hAnsi="Arial" w:cs="Arial"/>
          <w:sz w:val="20"/>
          <w:szCs w:val="20"/>
        </w:rPr>
      </w:pPr>
      <w:r w:rsidRPr="00BA1B7B">
        <w:rPr>
          <w:rFonts w:ascii="Arial" w:hAnsi="Arial" w:cs="Arial"/>
          <w:sz w:val="20"/>
          <w:szCs w:val="20"/>
        </w:rPr>
        <w:t xml:space="preserve">Women with a history of prolonged hyperemesis gravidum in this pregnancy </w:t>
      </w:r>
    </w:p>
    <w:p w14:paraId="4DF79D86" w14:textId="605E7687" w:rsidR="00D64801" w:rsidRDefault="00D64801" w:rsidP="00D64801">
      <w:pPr>
        <w:spacing w:line="276" w:lineRule="auto"/>
        <w:rPr>
          <w:rFonts w:ascii="Arial" w:hAnsi="Arial" w:cs="Arial"/>
          <w:b/>
          <w:bCs/>
          <w:sz w:val="20"/>
          <w:szCs w:val="20"/>
        </w:rPr>
      </w:pPr>
      <w:r w:rsidRPr="00BA1B7B">
        <w:rPr>
          <w:rFonts w:ascii="Arial" w:hAnsi="Arial" w:cs="Arial"/>
          <w:b/>
          <w:bCs/>
          <w:sz w:val="20"/>
          <w:szCs w:val="20"/>
        </w:rPr>
        <w:t>Screening for B12 deficiency:</w:t>
      </w:r>
    </w:p>
    <w:p w14:paraId="22F5F056" w14:textId="77777777" w:rsidR="005F1FD7" w:rsidRPr="00BA1B7B" w:rsidRDefault="005F1FD7" w:rsidP="00D64801">
      <w:pPr>
        <w:spacing w:line="276" w:lineRule="auto"/>
        <w:rPr>
          <w:rFonts w:ascii="Arial" w:hAnsi="Arial" w:cs="Arial"/>
          <w:b/>
          <w:bCs/>
          <w:sz w:val="20"/>
          <w:szCs w:val="20"/>
        </w:rPr>
      </w:pPr>
    </w:p>
    <w:p w14:paraId="2F6307B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Women at risk of B12 deficiency would benefit from having their holotranscobalamin (Active B12) checked with their initial antenatal pregnancy bloods and then again at 26-28 weeks. </w:t>
      </w:r>
    </w:p>
    <w:p w14:paraId="052B5F0F" w14:textId="77777777" w:rsidR="00D64801" w:rsidRPr="00BA1B7B" w:rsidRDefault="00D64801" w:rsidP="00D64801">
      <w:pPr>
        <w:spacing w:line="276" w:lineRule="auto"/>
        <w:ind w:firstLine="720"/>
        <w:jc w:val="center"/>
        <w:rPr>
          <w:rFonts w:ascii="Arial" w:hAnsi="Arial" w:cs="Arial"/>
          <w:b/>
          <w:iCs/>
          <w:sz w:val="20"/>
          <w:szCs w:val="20"/>
        </w:rPr>
      </w:pPr>
      <w:r w:rsidRPr="00BA1B7B">
        <w:rPr>
          <w:rFonts w:ascii="Arial" w:hAnsi="Arial" w:cs="Arial"/>
          <w:b/>
          <w:iCs/>
          <w:sz w:val="20"/>
          <w:szCs w:val="20"/>
        </w:rPr>
        <w:t>Practise Point: It is important to correct any underlying iron deficiency, as treatment with B12 can cause rapid cell production and associated iron depletion. Thus, it is important to assess ferritin levels when requesting B12 testing and treat iron deficiency accordingly.</w:t>
      </w:r>
    </w:p>
    <w:p w14:paraId="6BEA6DAE" w14:textId="77777777" w:rsidR="00D64801" w:rsidRPr="00BA1B7B" w:rsidRDefault="00D64801" w:rsidP="00D64801">
      <w:pPr>
        <w:spacing w:line="276" w:lineRule="auto"/>
        <w:rPr>
          <w:rFonts w:ascii="Arial" w:hAnsi="Arial" w:cs="Arial"/>
          <w:sz w:val="20"/>
          <w:szCs w:val="20"/>
        </w:rPr>
      </w:pPr>
    </w:p>
    <w:p w14:paraId="1B7EA4FF"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If Holotranscobalamin is &lt;37 pmol/L then Vitamin B12 replacement should be commenced.</w:t>
      </w:r>
    </w:p>
    <w:p w14:paraId="648C9CFB"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Any woman that is B12 deficient requires Obstetric Medical input. The women should be referred to Obstetric Medicine at Eastern Health. </w:t>
      </w:r>
      <w:r w:rsidRPr="00BA1B7B">
        <w:rPr>
          <w:rFonts w:ascii="Arial" w:hAnsi="Arial" w:cs="Arial"/>
          <w:i/>
          <w:iCs/>
          <w:sz w:val="20"/>
          <w:szCs w:val="20"/>
        </w:rPr>
        <w:t>See Section 4.5 for contact details.</w:t>
      </w:r>
      <w:r w:rsidRPr="00BA1B7B">
        <w:rPr>
          <w:rFonts w:ascii="Arial" w:hAnsi="Arial" w:cs="Arial"/>
          <w:sz w:val="20"/>
          <w:szCs w:val="20"/>
        </w:rPr>
        <w:t xml:space="preserve"> </w:t>
      </w:r>
    </w:p>
    <w:p w14:paraId="016F3AEE" w14:textId="77777777" w:rsidR="00D64801" w:rsidRPr="00BA1B7B" w:rsidRDefault="00D64801" w:rsidP="00D64801">
      <w:pPr>
        <w:spacing w:line="276" w:lineRule="auto"/>
        <w:rPr>
          <w:rFonts w:ascii="Arial" w:hAnsi="Arial" w:cs="Arial"/>
          <w:sz w:val="20"/>
          <w:szCs w:val="20"/>
        </w:rPr>
      </w:pPr>
    </w:p>
    <w:p w14:paraId="23346599" w14:textId="0E68CDAA" w:rsidR="00D64801" w:rsidRDefault="00D64801" w:rsidP="00D64801">
      <w:pPr>
        <w:spacing w:line="276" w:lineRule="auto"/>
        <w:rPr>
          <w:rFonts w:ascii="Arial" w:hAnsi="Arial" w:cs="Arial"/>
          <w:b/>
          <w:bCs/>
          <w:sz w:val="20"/>
          <w:szCs w:val="20"/>
        </w:rPr>
      </w:pPr>
      <w:r w:rsidRPr="00BA1B7B">
        <w:rPr>
          <w:rFonts w:ascii="Arial" w:hAnsi="Arial" w:cs="Arial"/>
          <w:b/>
          <w:bCs/>
          <w:sz w:val="20"/>
          <w:szCs w:val="20"/>
        </w:rPr>
        <w:t xml:space="preserve">Treatment: </w:t>
      </w:r>
    </w:p>
    <w:p w14:paraId="65A69CA4" w14:textId="77777777" w:rsidR="005F1FD7" w:rsidRPr="00BA1B7B" w:rsidRDefault="005F1FD7" w:rsidP="00D64801">
      <w:pPr>
        <w:spacing w:line="276" w:lineRule="auto"/>
        <w:rPr>
          <w:rFonts w:ascii="Arial" w:hAnsi="Arial" w:cs="Arial"/>
          <w:b/>
          <w:bCs/>
          <w:sz w:val="20"/>
          <w:szCs w:val="20"/>
        </w:rPr>
      </w:pPr>
    </w:p>
    <w:p w14:paraId="2C2A6DB6"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 xml:space="preserve">Treatment will vary based on the cause of the deficiency; Nutritional versus Malabsortion; and whether the woman is anaemic or not. </w:t>
      </w:r>
    </w:p>
    <w:p w14:paraId="72BF96E6" w14:textId="77777777" w:rsidR="00D64801" w:rsidRPr="00BA1B7B" w:rsidRDefault="00D64801" w:rsidP="00D64801">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2987"/>
        <w:gridCol w:w="3015"/>
        <w:gridCol w:w="3014"/>
      </w:tblGrid>
      <w:tr w:rsidR="00D64801" w:rsidRPr="00BA1B7B" w14:paraId="55A24196" w14:textId="77777777" w:rsidTr="00D64801">
        <w:tc>
          <w:tcPr>
            <w:tcW w:w="3080" w:type="dxa"/>
          </w:tcPr>
          <w:p w14:paraId="3B0CEB74" w14:textId="77777777" w:rsidR="00D64801" w:rsidRPr="00BA1B7B" w:rsidRDefault="00D64801" w:rsidP="00D64801">
            <w:pPr>
              <w:rPr>
                <w:rFonts w:ascii="Arial" w:hAnsi="Arial" w:cs="Arial"/>
                <w:b/>
                <w:bCs/>
                <w:sz w:val="20"/>
                <w:szCs w:val="20"/>
              </w:rPr>
            </w:pPr>
            <w:r w:rsidRPr="00BA1B7B">
              <w:rPr>
                <w:rFonts w:ascii="Arial" w:hAnsi="Arial" w:cs="Arial"/>
                <w:b/>
                <w:bCs/>
                <w:sz w:val="20"/>
                <w:szCs w:val="20"/>
              </w:rPr>
              <w:t>Causes of Vitamin B12 deficiency</w:t>
            </w:r>
          </w:p>
        </w:tc>
        <w:tc>
          <w:tcPr>
            <w:tcW w:w="3081" w:type="dxa"/>
          </w:tcPr>
          <w:p w14:paraId="79B1A6F7" w14:textId="77777777" w:rsidR="00D64801" w:rsidRPr="00BA1B7B" w:rsidRDefault="00D64801" w:rsidP="00D64801">
            <w:pPr>
              <w:rPr>
                <w:rFonts w:ascii="Arial" w:hAnsi="Arial" w:cs="Arial"/>
                <w:b/>
                <w:bCs/>
                <w:sz w:val="20"/>
                <w:szCs w:val="20"/>
              </w:rPr>
            </w:pPr>
            <w:r w:rsidRPr="00BA1B7B">
              <w:rPr>
                <w:rFonts w:ascii="Arial" w:hAnsi="Arial" w:cs="Arial"/>
                <w:b/>
                <w:bCs/>
                <w:sz w:val="20"/>
                <w:szCs w:val="20"/>
              </w:rPr>
              <w:t>Treatment</w:t>
            </w:r>
          </w:p>
          <w:p w14:paraId="2F5F4C2A" w14:textId="77777777" w:rsidR="00D64801" w:rsidRPr="00BA1B7B" w:rsidRDefault="00D64801" w:rsidP="00D64801">
            <w:pPr>
              <w:rPr>
                <w:rFonts w:ascii="Arial" w:hAnsi="Arial" w:cs="Arial"/>
                <w:b/>
                <w:bCs/>
                <w:sz w:val="20"/>
                <w:szCs w:val="20"/>
              </w:rPr>
            </w:pPr>
            <w:r w:rsidRPr="00BA1B7B">
              <w:rPr>
                <w:rFonts w:ascii="Arial" w:hAnsi="Arial" w:cs="Arial"/>
                <w:b/>
                <w:bCs/>
                <w:sz w:val="20"/>
                <w:szCs w:val="20"/>
              </w:rPr>
              <w:t>Asymptomatic (Not Anaemic)</w:t>
            </w:r>
          </w:p>
        </w:tc>
        <w:tc>
          <w:tcPr>
            <w:tcW w:w="3081" w:type="dxa"/>
          </w:tcPr>
          <w:p w14:paraId="75F9B99A" w14:textId="77777777" w:rsidR="00D64801" w:rsidRPr="00BA1B7B" w:rsidRDefault="00D64801" w:rsidP="00D64801">
            <w:pPr>
              <w:rPr>
                <w:rFonts w:ascii="Arial" w:hAnsi="Arial" w:cs="Arial"/>
                <w:b/>
                <w:bCs/>
                <w:sz w:val="20"/>
                <w:szCs w:val="20"/>
              </w:rPr>
            </w:pPr>
            <w:r w:rsidRPr="00BA1B7B">
              <w:rPr>
                <w:rFonts w:ascii="Arial" w:hAnsi="Arial" w:cs="Arial"/>
                <w:b/>
                <w:bCs/>
                <w:sz w:val="20"/>
                <w:szCs w:val="20"/>
              </w:rPr>
              <w:t>Treatment</w:t>
            </w:r>
          </w:p>
          <w:p w14:paraId="08523AB1" w14:textId="77777777" w:rsidR="00D64801" w:rsidRPr="00BA1B7B" w:rsidRDefault="00D64801" w:rsidP="00D64801">
            <w:pPr>
              <w:rPr>
                <w:rFonts w:ascii="Arial" w:hAnsi="Arial" w:cs="Arial"/>
                <w:b/>
                <w:bCs/>
                <w:sz w:val="20"/>
                <w:szCs w:val="20"/>
              </w:rPr>
            </w:pPr>
            <w:r w:rsidRPr="00BA1B7B">
              <w:rPr>
                <w:rFonts w:ascii="Arial" w:hAnsi="Arial" w:cs="Arial"/>
                <w:b/>
                <w:bCs/>
                <w:sz w:val="20"/>
                <w:szCs w:val="20"/>
              </w:rPr>
              <w:t>Symptomatic (Anaemic)</w:t>
            </w:r>
          </w:p>
        </w:tc>
      </w:tr>
      <w:tr w:rsidR="00D64801" w:rsidRPr="00BA1B7B" w14:paraId="0CE9B758" w14:textId="77777777" w:rsidTr="00D64801">
        <w:tc>
          <w:tcPr>
            <w:tcW w:w="3080" w:type="dxa"/>
          </w:tcPr>
          <w:p w14:paraId="4CBAF48D" w14:textId="77777777" w:rsidR="00D64801" w:rsidRPr="00BA1B7B" w:rsidRDefault="00D64801" w:rsidP="00D64801">
            <w:pPr>
              <w:rPr>
                <w:rFonts w:ascii="Arial" w:hAnsi="Arial" w:cs="Arial"/>
                <w:b/>
                <w:bCs/>
                <w:sz w:val="20"/>
                <w:szCs w:val="20"/>
              </w:rPr>
            </w:pPr>
            <w:r w:rsidRPr="00BA1B7B">
              <w:rPr>
                <w:rFonts w:ascii="Arial" w:hAnsi="Arial" w:cs="Arial"/>
                <w:b/>
                <w:bCs/>
                <w:sz w:val="20"/>
                <w:szCs w:val="20"/>
              </w:rPr>
              <w:t>Nutritional</w:t>
            </w:r>
          </w:p>
        </w:tc>
        <w:tc>
          <w:tcPr>
            <w:tcW w:w="3081" w:type="dxa"/>
          </w:tcPr>
          <w:p w14:paraId="3B44B5FE" w14:textId="77777777" w:rsidR="00D64801" w:rsidRPr="00BA1B7B" w:rsidRDefault="00D64801" w:rsidP="00D64801">
            <w:pPr>
              <w:autoSpaceDE w:val="0"/>
              <w:autoSpaceDN w:val="0"/>
              <w:adjustRightInd w:val="0"/>
              <w:spacing w:before="100" w:after="100"/>
              <w:rPr>
                <w:rFonts w:ascii="Arial" w:hAnsi="Arial" w:cs="Arial"/>
                <w:b/>
                <w:bCs/>
                <w:sz w:val="20"/>
                <w:szCs w:val="20"/>
              </w:rPr>
            </w:pPr>
            <w:r w:rsidRPr="00BA1B7B">
              <w:rPr>
                <w:rFonts w:ascii="Arial" w:hAnsi="Arial" w:cs="Arial"/>
                <w:b/>
                <w:bCs/>
                <w:i/>
                <w:iCs/>
                <w:sz w:val="20"/>
                <w:szCs w:val="20"/>
              </w:rPr>
              <w:t>Cyanocobalamin</w:t>
            </w:r>
          </w:p>
          <w:p w14:paraId="560692E9"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 xml:space="preserve">250–500 micrograms orally daily, given between meals. </w:t>
            </w:r>
          </w:p>
          <w:p w14:paraId="553ED2FA"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OR</w:t>
            </w:r>
          </w:p>
          <w:p w14:paraId="6630B4F5" w14:textId="77777777" w:rsidR="00D64801" w:rsidRPr="00BA1B7B" w:rsidRDefault="00D64801" w:rsidP="00D64801">
            <w:pPr>
              <w:autoSpaceDE w:val="0"/>
              <w:autoSpaceDN w:val="0"/>
              <w:adjustRightInd w:val="0"/>
              <w:spacing w:before="100" w:after="100"/>
              <w:rPr>
                <w:rFonts w:ascii="Arial" w:hAnsi="Arial" w:cs="Arial"/>
                <w:b/>
                <w:bCs/>
                <w:i/>
                <w:iCs/>
                <w:sz w:val="20"/>
                <w:szCs w:val="20"/>
              </w:rPr>
            </w:pPr>
            <w:r w:rsidRPr="00BA1B7B">
              <w:rPr>
                <w:rFonts w:ascii="Arial" w:hAnsi="Arial" w:cs="Arial"/>
                <w:b/>
                <w:bCs/>
                <w:i/>
                <w:iCs/>
                <w:sz w:val="20"/>
                <w:szCs w:val="20"/>
              </w:rPr>
              <w:t xml:space="preserve">Hydroxocobalamin </w:t>
            </w:r>
          </w:p>
          <w:p w14:paraId="759B09AC"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1000 micrograms by intramuscular injection every 2-3 months.</w:t>
            </w:r>
          </w:p>
          <w:p w14:paraId="57CEF030"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This should be continued for the duration of the pregnancy and during breastfeeding.</w:t>
            </w:r>
          </w:p>
          <w:p w14:paraId="38E14013" w14:textId="77777777" w:rsidR="00D64801" w:rsidRPr="00BA1B7B" w:rsidRDefault="00D64801" w:rsidP="00D64801">
            <w:pPr>
              <w:rPr>
                <w:rFonts w:ascii="Arial" w:hAnsi="Arial" w:cs="Arial"/>
                <w:sz w:val="20"/>
                <w:szCs w:val="20"/>
              </w:rPr>
            </w:pPr>
          </w:p>
        </w:tc>
        <w:tc>
          <w:tcPr>
            <w:tcW w:w="3081" w:type="dxa"/>
          </w:tcPr>
          <w:p w14:paraId="3463DC30" w14:textId="77777777" w:rsidR="00D64801" w:rsidRPr="00BA1B7B" w:rsidRDefault="00D64801" w:rsidP="00D64801">
            <w:pPr>
              <w:autoSpaceDE w:val="0"/>
              <w:autoSpaceDN w:val="0"/>
              <w:adjustRightInd w:val="0"/>
              <w:spacing w:before="100" w:after="100"/>
              <w:rPr>
                <w:rFonts w:ascii="Arial" w:hAnsi="Arial" w:cs="Arial"/>
                <w:b/>
                <w:bCs/>
                <w:sz w:val="20"/>
                <w:szCs w:val="20"/>
              </w:rPr>
            </w:pPr>
            <w:r w:rsidRPr="00BA1B7B">
              <w:rPr>
                <w:rFonts w:ascii="Arial" w:hAnsi="Arial" w:cs="Arial"/>
                <w:b/>
                <w:bCs/>
                <w:i/>
                <w:iCs/>
                <w:sz w:val="20"/>
                <w:szCs w:val="20"/>
                <w:u w:val="single"/>
              </w:rPr>
              <w:t>Treatment:</w:t>
            </w:r>
          </w:p>
          <w:p w14:paraId="7602FB9F"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b/>
                <w:bCs/>
                <w:i/>
                <w:iCs/>
                <w:sz w:val="20"/>
                <w:szCs w:val="20"/>
              </w:rPr>
              <w:t>Hydroxycobalamin</w:t>
            </w:r>
            <w:r w:rsidRPr="00BA1B7B">
              <w:rPr>
                <w:rFonts w:ascii="Arial" w:hAnsi="Arial" w:cs="Arial"/>
                <w:sz w:val="20"/>
                <w:szCs w:val="20"/>
              </w:rPr>
              <w:t xml:space="preserve"> 1000 micrograms by intramuscular injection twice weekly for 3 weeks (or until improvement occurs).</w:t>
            </w:r>
          </w:p>
          <w:p w14:paraId="6B7BE8F6" w14:textId="77777777" w:rsidR="00D64801" w:rsidRPr="00BA1B7B" w:rsidRDefault="00D64801" w:rsidP="00D64801">
            <w:pPr>
              <w:autoSpaceDE w:val="0"/>
              <w:autoSpaceDN w:val="0"/>
              <w:adjustRightInd w:val="0"/>
              <w:spacing w:before="100" w:after="100"/>
              <w:rPr>
                <w:rFonts w:ascii="Arial" w:hAnsi="Arial" w:cs="Arial"/>
                <w:b/>
                <w:bCs/>
                <w:sz w:val="20"/>
                <w:szCs w:val="20"/>
              </w:rPr>
            </w:pPr>
            <w:r w:rsidRPr="00BA1B7B">
              <w:rPr>
                <w:rFonts w:ascii="Arial" w:hAnsi="Arial" w:cs="Arial"/>
                <w:b/>
                <w:bCs/>
                <w:sz w:val="20"/>
                <w:szCs w:val="20"/>
                <w:u w:val="single"/>
              </w:rPr>
              <w:t>Maintenance:</w:t>
            </w:r>
          </w:p>
          <w:p w14:paraId="0BA51C48" w14:textId="77777777" w:rsidR="00D64801" w:rsidRPr="00BA1B7B" w:rsidRDefault="00D64801" w:rsidP="00D64801">
            <w:pPr>
              <w:autoSpaceDE w:val="0"/>
              <w:autoSpaceDN w:val="0"/>
              <w:adjustRightInd w:val="0"/>
              <w:spacing w:before="100" w:after="100"/>
              <w:rPr>
                <w:rFonts w:ascii="Arial" w:hAnsi="Arial" w:cs="Arial"/>
                <w:b/>
                <w:bCs/>
                <w:i/>
                <w:iCs/>
                <w:sz w:val="20"/>
                <w:szCs w:val="20"/>
              </w:rPr>
            </w:pPr>
            <w:r w:rsidRPr="00BA1B7B">
              <w:rPr>
                <w:rFonts w:ascii="Arial" w:hAnsi="Arial" w:cs="Arial"/>
                <w:b/>
                <w:bCs/>
                <w:i/>
                <w:iCs/>
                <w:sz w:val="20"/>
                <w:szCs w:val="20"/>
              </w:rPr>
              <w:t>Cyanocobalamin</w:t>
            </w:r>
          </w:p>
          <w:p w14:paraId="583AB3D2"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1000-2000 micrograms orally daily, given between meals.</w:t>
            </w:r>
          </w:p>
          <w:p w14:paraId="5F116BEF"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This maintenance dose should be continued for the duration of the pregnancy and during breastfeeding.</w:t>
            </w:r>
          </w:p>
          <w:p w14:paraId="3A669833" w14:textId="77777777" w:rsidR="00D64801" w:rsidRPr="00BA1B7B" w:rsidRDefault="00D64801" w:rsidP="00D64801">
            <w:pPr>
              <w:rPr>
                <w:rFonts w:ascii="Arial" w:hAnsi="Arial" w:cs="Arial"/>
                <w:sz w:val="20"/>
                <w:szCs w:val="20"/>
              </w:rPr>
            </w:pPr>
          </w:p>
        </w:tc>
      </w:tr>
      <w:tr w:rsidR="00D64801" w:rsidRPr="00BA1B7B" w14:paraId="099D8CE5" w14:textId="77777777" w:rsidTr="00D64801">
        <w:tc>
          <w:tcPr>
            <w:tcW w:w="3080" w:type="dxa"/>
          </w:tcPr>
          <w:p w14:paraId="7D2B6423" w14:textId="77777777" w:rsidR="00D64801" w:rsidRPr="00BA1B7B" w:rsidRDefault="00D64801" w:rsidP="00D64801">
            <w:pPr>
              <w:rPr>
                <w:rFonts w:ascii="Arial" w:hAnsi="Arial" w:cs="Arial"/>
                <w:b/>
                <w:bCs/>
                <w:sz w:val="20"/>
                <w:szCs w:val="20"/>
              </w:rPr>
            </w:pPr>
            <w:r w:rsidRPr="00BA1B7B">
              <w:rPr>
                <w:rFonts w:ascii="Arial" w:hAnsi="Arial" w:cs="Arial"/>
                <w:b/>
                <w:bCs/>
                <w:sz w:val="20"/>
                <w:szCs w:val="20"/>
              </w:rPr>
              <w:t>Malabsorption</w:t>
            </w:r>
          </w:p>
        </w:tc>
        <w:tc>
          <w:tcPr>
            <w:tcW w:w="3081" w:type="dxa"/>
          </w:tcPr>
          <w:p w14:paraId="04AD8343" w14:textId="77777777" w:rsidR="00D64801" w:rsidRPr="00BA1B7B" w:rsidRDefault="00D64801" w:rsidP="00D64801">
            <w:pPr>
              <w:autoSpaceDE w:val="0"/>
              <w:autoSpaceDN w:val="0"/>
              <w:adjustRightInd w:val="0"/>
              <w:spacing w:before="100" w:after="100"/>
              <w:rPr>
                <w:rFonts w:ascii="Arial" w:hAnsi="Arial" w:cs="Arial"/>
                <w:b/>
                <w:bCs/>
                <w:i/>
                <w:iCs/>
                <w:sz w:val="20"/>
                <w:szCs w:val="20"/>
              </w:rPr>
            </w:pPr>
            <w:r w:rsidRPr="00BA1B7B">
              <w:rPr>
                <w:rFonts w:ascii="Arial" w:hAnsi="Arial" w:cs="Arial"/>
                <w:b/>
                <w:bCs/>
                <w:i/>
                <w:iCs/>
                <w:sz w:val="20"/>
                <w:szCs w:val="20"/>
              </w:rPr>
              <w:t xml:space="preserve">Hydroxocobalamin </w:t>
            </w:r>
          </w:p>
          <w:p w14:paraId="0F914E3A"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1000 micrograms by intramuscular injection every 2–3 months.</w:t>
            </w:r>
          </w:p>
          <w:p w14:paraId="5472B2FA"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This should be continued for the duration of the pregnancy and during breastfeeding.</w:t>
            </w:r>
          </w:p>
          <w:p w14:paraId="4F490B98" w14:textId="77777777" w:rsidR="00D64801" w:rsidRPr="00BA1B7B" w:rsidRDefault="00D64801" w:rsidP="00D64801">
            <w:pPr>
              <w:rPr>
                <w:rFonts w:ascii="Arial" w:hAnsi="Arial" w:cs="Arial"/>
                <w:sz w:val="20"/>
                <w:szCs w:val="20"/>
              </w:rPr>
            </w:pPr>
          </w:p>
        </w:tc>
        <w:tc>
          <w:tcPr>
            <w:tcW w:w="3081" w:type="dxa"/>
          </w:tcPr>
          <w:p w14:paraId="404E99D7" w14:textId="77777777" w:rsidR="00D64801" w:rsidRPr="00BA1B7B" w:rsidRDefault="00D64801" w:rsidP="00D64801">
            <w:pPr>
              <w:autoSpaceDE w:val="0"/>
              <w:autoSpaceDN w:val="0"/>
              <w:adjustRightInd w:val="0"/>
              <w:spacing w:before="100" w:after="100"/>
              <w:rPr>
                <w:rFonts w:ascii="Arial" w:hAnsi="Arial" w:cs="Arial"/>
                <w:b/>
                <w:bCs/>
                <w:i/>
                <w:iCs/>
                <w:sz w:val="20"/>
                <w:szCs w:val="20"/>
              </w:rPr>
            </w:pPr>
            <w:r w:rsidRPr="00BA1B7B">
              <w:rPr>
                <w:rFonts w:ascii="Arial" w:hAnsi="Arial" w:cs="Arial"/>
                <w:b/>
                <w:bCs/>
                <w:i/>
                <w:iCs/>
                <w:sz w:val="20"/>
                <w:szCs w:val="20"/>
                <w:u w:val="single"/>
              </w:rPr>
              <w:t>Treatment:</w:t>
            </w:r>
          </w:p>
          <w:p w14:paraId="22709BDB"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b/>
                <w:bCs/>
                <w:i/>
                <w:iCs/>
                <w:sz w:val="20"/>
                <w:szCs w:val="20"/>
              </w:rPr>
              <w:t>hydroxycobalamin</w:t>
            </w:r>
            <w:r w:rsidRPr="00BA1B7B">
              <w:rPr>
                <w:rFonts w:ascii="Arial" w:hAnsi="Arial" w:cs="Arial"/>
                <w:sz w:val="20"/>
                <w:szCs w:val="20"/>
              </w:rPr>
              <w:t xml:space="preserve"> 1000 micrograms by intramuscular injection twice weekly for 3 weeks (or until improvement occurs).</w:t>
            </w:r>
          </w:p>
          <w:p w14:paraId="5517F6BA" w14:textId="77777777" w:rsidR="00D64801" w:rsidRPr="00BA1B7B" w:rsidRDefault="00D64801" w:rsidP="00D64801">
            <w:pPr>
              <w:autoSpaceDE w:val="0"/>
              <w:autoSpaceDN w:val="0"/>
              <w:adjustRightInd w:val="0"/>
              <w:spacing w:before="100" w:after="100"/>
              <w:rPr>
                <w:rFonts w:ascii="Arial" w:hAnsi="Arial" w:cs="Arial"/>
                <w:b/>
                <w:bCs/>
                <w:i/>
                <w:iCs/>
                <w:sz w:val="20"/>
                <w:szCs w:val="20"/>
              </w:rPr>
            </w:pPr>
            <w:r w:rsidRPr="00BA1B7B">
              <w:rPr>
                <w:rFonts w:ascii="Arial" w:hAnsi="Arial" w:cs="Arial"/>
                <w:b/>
                <w:bCs/>
                <w:i/>
                <w:iCs/>
                <w:sz w:val="20"/>
                <w:szCs w:val="20"/>
                <w:u w:val="single"/>
              </w:rPr>
              <w:t>Maintenance:</w:t>
            </w:r>
          </w:p>
          <w:p w14:paraId="13611311" w14:textId="77777777" w:rsidR="00D64801" w:rsidRPr="00BA1B7B" w:rsidRDefault="00D64801" w:rsidP="00D64801">
            <w:pPr>
              <w:autoSpaceDE w:val="0"/>
              <w:autoSpaceDN w:val="0"/>
              <w:adjustRightInd w:val="0"/>
              <w:spacing w:before="100" w:after="100"/>
              <w:rPr>
                <w:rFonts w:ascii="Arial" w:hAnsi="Arial" w:cs="Arial"/>
                <w:b/>
                <w:bCs/>
                <w:i/>
                <w:iCs/>
                <w:sz w:val="20"/>
                <w:szCs w:val="20"/>
              </w:rPr>
            </w:pPr>
            <w:r w:rsidRPr="00BA1B7B">
              <w:rPr>
                <w:rFonts w:ascii="Arial" w:hAnsi="Arial" w:cs="Arial"/>
                <w:b/>
                <w:bCs/>
                <w:i/>
                <w:iCs/>
                <w:sz w:val="20"/>
                <w:szCs w:val="20"/>
              </w:rPr>
              <w:t xml:space="preserve">hydroxocobalamin </w:t>
            </w:r>
          </w:p>
          <w:p w14:paraId="0E253052" w14:textId="77777777" w:rsidR="00D64801" w:rsidRPr="00BA1B7B" w:rsidRDefault="00D64801" w:rsidP="00D64801">
            <w:pPr>
              <w:autoSpaceDE w:val="0"/>
              <w:autoSpaceDN w:val="0"/>
              <w:adjustRightInd w:val="0"/>
              <w:spacing w:before="100" w:after="100"/>
              <w:rPr>
                <w:rFonts w:ascii="Arial" w:hAnsi="Arial" w:cs="Arial"/>
                <w:sz w:val="20"/>
                <w:szCs w:val="20"/>
              </w:rPr>
            </w:pPr>
            <w:r w:rsidRPr="00BA1B7B">
              <w:rPr>
                <w:rFonts w:ascii="Arial" w:hAnsi="Arial" w:cs="Arial"/>
                <w:sz w:val="20"/>
                <w:szCs w:val="20"/>
              </w:rPr>
              <w:t>1000 micrograms by intramuscular injection every 2–3 months.</w:t>
            </w:r>
          </w:p>
          <w:p w14:paraId="43BB75A8" w14:textId="77777777" w:rsidR="00D64801" w:rsidRPr="00BA1B7B" w:rsidRDefault="00D64801" w:rsidP="00D64801">
            <w:pPr>
              <w:ind w:firstLine="720"/>
              <w:rPr>
                <w:rFonts w:ascii="Arial" w:hAnsi="Arial" w:cs="Arial"/>
                <w:sz w:val="20"/>
                <w:szCs w:val="20"/>
              </w:rPr>
            </w:pPr>
          </w:p>
        </w:tc>
      </w:tr>
    </w:tbl>
    <w:p w14:paraId="7C32DF04" w14:textId="77777777" w:rsidR="00D64801" w:rsidRPr="00BA1B7B" w:rsidRDefault="00D64801" w:rsidP="00D64801">
      <w:pPr>
        <w:rPr>
          <w:rFonts w:ascii="Arial" w:hAnsi="Arial" w:cs="Arial"/>
          <w:sz w:val="20"/>
          <w:szCs w:val="20"/>
        </w:rPr>
      </w:pPr>
    </w:p>
    <w:p w14:paraId="46A294A3" w14:textId="77777777" w:rsidR="00D64801" w:rsidRPr="00BA1B7B" w:rsidRDefault="00D64801" w:rsidP="00D64801">
      <w:pPr>
        <w:autoSpaceDE w:val="0"/>
        <w:autoSpaceDN w:val="0"/>
        <w:adjustRightInd w:val="0"/>
        <w:spacing w:before="100" w:after="100" w:line="276" w:lineRule="auto"/>
        <w:rPr>
          <w:rFonts w:ascii="Arial" w:hAnsi="Arial" w:cs="Arial"/>
          <w:sz w:val="20"/>
          <w:szCs w:val="20"/>
        </w:rPr>
      </w:pPr>
      <w:r w:rsidRPr="00BA1B7B">
        <w:rPr>
          <w:rFonts w:ascii="Arial" w:hAnsi="Arial" w:cs="Arial"/>
          <w:sz w:val="20"/>
          <w:szCs w:val="20"/>
        </w:rPr>
        <w:t xml:space="preserve">One month post the commencement of B12 therapy, repeat bloods should be taken to assess efficacy.  However, once Vitamin B12 deficiency has been diagnosed, it is important that treatment is continued throughout the duration of the pregnancy and during lactation. </w:t>
      </w:r>
    </w:p>
    <w:p w14:paraId="662D188A" w14:textId="77777777" w:rsidR="00D64801" w:rsidRPr="00BA1B7B" w:rsidRDefault="00D64801" w:rsidP="00D64801">
      <w:pPr>
        <w:autoSpaceDE w:val="0"/>
        <w:autoSpaceDN w:val="0"/>
        <w:adjustRightInd w:val="0"/>
        <w:spacing w:before="100" w:after="100" w:line="276" w:lineRule="auto"/>
        <w:rPr>
          <w:rFonts w:ascii="Arial" w:hAnsi="Arial" w:cs="Arial"/>
          <w:sz w:val="20"/>
          <w:szCs w:val="20"/>
        </w:rPr>
      </w:pPr>
      <w:r w:rsidRPr="00BA1B7B">
        <w:rPr>
          <w:rFonts w:ascii="Arial" w:hAnsi="Arial" w:cs="Arial"/>
          <w:sz w:val="20"/>
          <w:szCs w:val="20"/>
        </w:rPr>
        <w:t xml:space="preserve">Infants of woman with B12 deficiency in pregnancy will require paediatric follow up and ongoing review post birth. This should occur in the immediate post-partum period within the hospital. </w:t>
      </w:r>
    </w:p>
    <w:p w14:paraId="6B13527A" w14:textId="77777777" w:rsidR="00D64801" w:rsidRPr="00BA1B7B" w:rsidRDefault="00D64801" w:rsidP="00D64801">
      <w:pPr>
        <w:rPr>
          <w:rFonts w:ascii="Arial" w:hAnsi="Arial" w:cs="Arial"/>
          <w:sz w:val="20"/>
          <w:szCs w:val="20"/>
        </w:rPr>
      </w:pPr>
    </w:p>
    <w:p w14:paraId="1F740F45" w14:textId="0CE01CBA" w:rsidR="00074F2F" w:rsidRPr="00BA1B7B" w:rsidRDefault="00D64801"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1" w:name="_Toc120614315"/>
      <w:r w:rsidRPr="00BA1B7B">
        <w:rPr>
          <w:rFonts w:ascii="Arial" w:eastAsia="Times New Roman" w:hAnsi="Arial" w:cs="Arial"/>
          <w:b/>
          <w:bCs/>
          <w:sz w:val="20"/>
          <w:szCs w:val="20"/>
          <w:lang w:eastAsia="en-AU"/>
        </w:rPr>
        <w:t xml:space="preserve">7.7 </w:t>
      </w:r>
      <w:r w:rsidR="00074F2F" w:rsidRPr="00BA1B7B">
        <w:rPr>
          <w:rFonts w:ascii="Arial" w:eastAsia="Times New Roman" w:hAnsi="Arial" w:cs="Arial"/>
          <w:b/>
          <w:bCs/>
          <w:sz w:val="20"/>
          <w:szCs w:val="20"/>
          <w:lang w:eastAsia="en-AU"/>
        </w:rPr>
        <w:t>Haemoglobinopathies</w:t>
      </w:r>
      <w:bookmarkEnd w:id="81"/>
    </w:p>
    <w:p w14:paraId="5F50052F" w14:textId="12D4833C" w:rsidR="00D64801" w:rsidRPr="00BA1B7B" w:rsidRDefault="00D64801" w:rsidP="00074F2F">
      <w:pPr>
        <w:pStyle w:val="Default"/>
        <w:spacing w:before="120" w:after="120"/>
        <w:jc w:val="both"/>
        <w:rPr>
          <w:rFonts w:ascii="Arial" w:hAnsi="Arial" w:cs="Arial"/>
          <w:color w:val="auto"/>
          <w:sz w:val="20"/>
          <w:szCs w:val="20"/>
        </w:rPr>
      </w:pPr>
      <w:r w:rsidRPr="00BA1B7B">
        <w:rPr>
          <w:rFonts w:ascii="Arial" w:hAnsi="Arial" w:cs="Arial"/>
          <w:color w:val="auto"/>
          <w:sz w:val="20"/>
          <w:szCs w:val="20"/>
        </w:rPr>
        <w:t xml:space="preserve">Comprising the thalassaemia’s and the production of genetically abnormal haemoglobin, these are hereditary disorders, which affect the balance of globin chain synthesis and/or the structure of </w:t>
      </w:r>
      <w:r w:rsidRPr="00BA1B7B">
        <w:rPr>
          <w:rFonts w:ascii="Arial" w:hAnsi="Arial" w:cs="Arial"/>
          <w:color w:val="auto"/>
          <w:sz w:val="20"/>
          <w:szCs w:val="20"/>
        </w:rPr>
        <w:lastRenderedPageBreak/>
        <w:t xml:space="preserve">haemoglobin. They are characterised by structural variations of the haemoglobin molecule, such as HbS (sickle), HbE etc. </w:t>
      </w:r>
    </w:p>
    <w:p w14:paraId="1BE3C773" w14:textId="77777777" w:rsidR="00D64801" w:rsidRPr="00BA1B7B" w:rsidRDefault="00D64801" w:rsidP="00D64801">
      <w:pPr>
        <w:pStyle w:val="Default"/>
        <w:spacing w:before="120" w:after="120"/>
        <w:rPr>
          <w:rFonts w:ascii="Arial" w:hAnsi="Arial" w:cs="Arial"/>
          <w:color w:val="auto"/>
          <w:sz w:val="20"/>
          <w:szCs w:val="20"/>
        </w:rPr>
      </w:pPr>
      <w:r w:rsidRPr="00BA1B7B">
        <w:rPr>
          <w:rFonts w:ascii="Arial" w:hAnsi="Arial" w:cs="Arial"/>
          <w:b/>
          <w:bCs/>
          <w:color w:val="auto"/>
          <w:sz w:val="20"/>
          <w:szCs w:val="20"/>
        </w:rPr>
        <w:t xml:space="preserve">Thalassaemia- </w:t>
      </w:r>
      <w:r w:rsidRPr="00BA1B7B">
        <w:rPr>
          <w:rFonts w:ascii="Arial" w:hAnsi="Arial" w:cs="Arial"/>
          <w:color w:val="auto"/>
          <w:sz w:val="20"/>
          <w:szCs w:val="20"/>
        </w:rPr>
        <w:t>is an inherited condition that affects the production of haemoglobin, which carries oxygen in our blood. It appears in the following forms</w:t>
      </w:r>
      <w:r w:rsidRPr="00BA1B7B">
        <w:rPr>
          <w:rFonts w:ascii="Arial" w:hAnsi="Arial" w:cs="Arial"/>
          <w:color w:val="auto"/>
          <w:sz w:val="20"/>
          <w:szCs w:val="20"/>
          <w:vertAlign w:val="superscript"/>
        </w:rPr>
        <w:t>5</w:t>
      </w:r>
      <w:r w:rsidRPr="00BA1B7B">
        <w:rPr>
          <w:rFonts w:ascii="Arial" w:hAnsi="Arial" w:cs="Arial"/>
          <w:color w:val="auto"/>
          <w:sz w:val="20"/>
          <w:szCs w:val="20"/>
        </w:rPr>
        <w:t xml:space="preserve">: </w:t>
      </w:r>
    </w:p>
    <w:p w14:paraId="335DE89E" w14:textId="399E21BC" w:rsidR="00D64801" w:rsidRPr="00BA1B7B" w:rsidRDefault="00D64801" w:rsidP="00D64801">
      <w:pPr>
        <w:pStyle w:val="Default"/>
        <w:spacing w:before="120" w:after="120"/>
        <w:rPr>
          <w:rFonts w:ascii="Arial" w:hAnsi="Arial" w:cs="Arial"/>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30"/>
        <w:gridCol w:w="4365"/>
        <w:gridCol w:w="1621"/>
      </w:tblGrid>
      <w:tr w:rsidR="00D64801" w:rsidRPr="00BA1B7B" w14:paraId="7AAE0002" w14:textId="77777777" w:rsidTr="00D64801">
        <w:trPr>
          <w:trHeight w:val="563"/>
        </w:trPr>
        <w:tc>
          <w:tcPr>
            <w:tcW w:w="3236" w:type="dxa"/>
            <w:shd w:val="clear" w:color="auto" w:fill="FFFFFF" w:themeFill="background1"/>
          </w:tcPr>
          <w:p w14:paraId="34B1D53C"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Thalassaemia minor</w:t>
            </w:r>
          </w:p>
        </w:tc>
        <w:tc>
          <w:tcPr>
            <w:tcW w:w="4810" w:type="dxa"/>
            <w:shd w:val="clear" w:color="auto" w:fill="FFFFFF" w:themeFill="background1"/>
          </w:tcPr>
          <w:p w14:paraId="254E1E7D"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Carrier form – one member of the gene pair is not working properly</w:t>
            </w:r>
          </w:p>
        </w:tc>
        <w:tc>
          <w:tcPr>
            <w:tcW w:w="1664" w:type="dxa"/>
            <w:shd w:val="clear" w:color="auto" w:fill="FFFFFF" w:themeFill="background1"/>
          </w:tcPr>
          <w:p w14:paraId="40F46406"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No effects on health</w:t>
            </w:r>
          </w:p>
        </w:tc>
      </w:tr>
      <w:tr w:rsidR="00D64801" w:rsidRPr="00BA1B7B" w14:paraId="2A6A98FD" w14:textId="77777777" w:rsidTr="00D64801">
        <w:trPr>
          <w:trHeight w:val="397"/>
        </w:trPr>
        <w:tc>
          <w:tcPr>
            <w:tcW w:w="3236" w:type="dxa"/>
            <w:shd w:val="clear" w:color="auto" w:fill="FFFFFF" w:themeFill="background1"/>
          </w:tcPr>
          <w:p w14:paraId="00435806"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Beta thalassaemia major</w:t>
            </w:r>
          </w:p>
        </w:tc>
        <w:tc>
          <w:tcPr>
            <w:tcW w:w="4810" w:type="dxa"/>
            <w:shd w:val="clear" w:color="auto" w:fill="FFFFFF" w:themeFill="background1"/>
          </w:tcPr>
          <w:p w14:paraId="32948512"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Both members of the beta gene are not working</w:t>
            </w:r>
          </w:p>
        </w:tc>
        <w:tc>
          <w:tcPr>
            <w:tcW w:w="1664" w:type="dxa"/>
            <w:shd w:val="clear" w:color="auto" w:fill="FFFFFF" w:themeFill="background1"/>
          </w:tcPr>
          <w:p w14:paraId="06C1C16F"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 xml:space="preserve">Offer CVS and discuss possible TOP </w:t>
            </w:r>
          </w:p>
          <w:p w14:paraId="52268289"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 xml:space="preserve">Patients are transfusion dependent. </w:t>
            </w:r>
          </w:p>
        </w:tc>
      </w:tr>
      <w:tr w:rsidR="00D64801" w:rsidRPr="00BA1B7B" w14:paraId="1F7BAB25" w14:textId="77777777" w:rsidTr="00D64801">
        <w:trPr>
          <w:trHeight w:val="563"/>
        </w:trPr>
        <w:tc>
          <w:tcPr>
            <w:tcW w:w="3236" w:type="dxa"/>
            <w:shd w:val="clear" w:color="auto" w:fill="FFFFFF" w:themeFill="background1"/>
          </w:tcPr>
          <w:p w14:paraId="567BE5DE"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Alpha thalassaemia major</w:t>
            </w:r>
          </w:p>
        </w:tc>
        <w:tc>
          <w:tcPr>
            <w:tcW w:w="4810" w:type="dxa"/>
            <w:shd w:val="clear" w:color="auto" w:fill="FFFFFF" w:themeFill="background1"/>
          </w:tcPr>
          <w:p w14:paraId="6A2E6C2F"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Both members of the alpha gene pairs are not working</w:t>
            </w:r>
          </w:p>
        </w:tc>
        <w:tc>
          <w:tcPr>
            <w:tcW w:w="1664" w:type="dxa"/>
            <w:shd w:val="clear" w:color="auto" w:fill="FFFFFF" w:themeFill="background1"/>
          </w:tcPr>
          <w:p w14:paraId="11F92E8E" w14:textId="77777777" w:rsidR="00D64801" w:rsidRPr="00BA1B7B" w:rsidRDefault="00D64801" w:rsidP="00D64801">
            <w:pPr>
              <w:pStyle w:val="Default"/>
              <w:spacing w:before="120" w:after="120"/>
              <w:rPr>
                <w:rFonts w:ascii="Arial" w:hAnsi="Arial" w:cs="Arial"/>
                <w:b/>
                <w:color w:val="auto"/>
                <w:sz w:val="20"/>
                <w:szCs w:val="20"/>
              </w:rPr>
            </w:pPr>
            <w:r w:rsidRPr="00BA1B7B">
              <w:rPr>
                <w:rFonts w:ascii="Arial" w:hAnsi="Arial" w:cs="Arial"/>
                <w:b/>
                <w:color w:val="auto"/>
                <w:sz w:val="20"/>
                <w:szCs w:val="20"/>
              </w:rPr>
              <w:t>Barts Hydrops</w:t>
            </w:r>
          </w:p>
        </w:tc>
      </w:tr>
    </w:tbl>
    <w:p w14:paraId="66616EB3" w14:textId="77777777" w:rsidR="00D64801" w:rsidRPr="00BA1B7B" w:rsidRDefault="00D64801" w:rsidP="00D64801">
      <w:pPr>
        <w:pStyle w:val="Default"/>
        <w:rPr>
          <w:rFonts w:ascii="Arial" w:hAnsi="Arial" w:cs="Arial"/>
          <w:b/>
          <w:color w:val="auto"/>
          <w:sz w:val="20"/>
          <w:szCs w:val="20"/>
        </w:rPr>
      </w:pPr>
    </w:p>
    <w:p w14:paraId="42E0B513" w14:textId="77777777" w:rsidR="00D64801" w:rsidRPr="00BA1B7B" w:rsidRDefault="00D64801" w:rsidP="00D64801">
      <w:pPr>
        <w:pStyle w:val="Default"/>
        <w:rPr>
          <w:rFonts w:ascii="Arial" w:hAnsi="Arial" w:cs="Arial"/>
          <w:b/>
          <w:color w:val="auto"/>
          <w:sz w:val="20"/>
          <w:szCs w:val="20"/>
        </w:rPr>
      </w:pPr>
    </w:p>
    <w:p w14:paraId="3BBBECA9" w14:textId="77777777" w:rsidR="005F1FD7" w:rsidRDefault="005F1FD7" w:rsidP="00D64801">
      <w:pPr>
        <w:pStyle w:val="Default"/>
        <w:rPr>
          <w:rFonts w:ascii="Arial" w:hAnsi="Arial" w:cs="Arial"/>
          <w:b/>
          <w:color w:val="auto"/>
          <w:sz w:val="20"/>
          <w:szCs w:val="20"/>
        </w:rPr>
      </w:pPr>
    </w:p>
    <w:p w14:paraId="4053ABDD" w14:textId="77777777" w:rsidR="005F1FD7" w:rsidRDefault="005F1FD7" w:rsidP="00D64801">
      <w:pPr>
        <w:pStyle w:val="Default"/>
        <w:rPr>
          <w:rFonts w:ascii="Arial" w:hAnsi="Arial" w:cs="Arial"/>
          <w:b/>
          <w:color w:val="auto"/>
          <w:sz w:val="20"/>
          <w:szCs w:val="20"/>
        </w:rPr>
      </w:pPr>
    </w:p>
    <w:p w14:paraId="6819CFAA" w14:textId="77777777" w:rsidR="005F1FD7" w:rsidRDefault="005F1FD7" w:rsidP="00D64801">
      <w:pPr>
        <w:pStyle w:val="Default"/>
        <w:rPr>
          <w:rFonts w:ascii="Arial" w:hAnsi="Arial" w:cs="Arial"/>
          <w:b/>
          <w:color w:val="auto"/>
          <w:sz w:val="20"/>
          <w:szCs w:val="20"/>
        </w:rPr>
      </w:pPr>
    </w:p>
    <w:p w14:paraId="418F70E5" w14:textId="59388381" w:rsidR="00D64801" w:rsidRPr="00BA1B7B" w:rsidRDefault="00D64801" w:rsidP="00D64801">
      <w:pPr>
        <w:pStyle w:val="Default"/>
        <w:rPr>
          <w:rFonts w:ascii="Arial" w:hAnsi="Arial" w:cs="Arial"/>
          <w:b/>
          <w:color w:val="auto"/>
          <w:sz w:val="20"/>
          <w:szCs w:val="20"/>
        </w:rPr>
      </w:pPr>
      <w:r w:rsidRPr="00BA1B7B">
        <w:rPr>
          <w:rFonts w:ascii="Arial" w:hAnsi="Arial" w:cs="Arial"/>
          <w:b/>
          <w:color w:val="auto"/>
          <w:sz w:val="20"/>
          <w:szCs w:val="20"/>
        </w:rPr>
        <w:t>Sickle Cell Disease</w:t>
      </w:r>
    </w:p>
    <w:p w14:paraId="36EAD69C" w14:textId="77777777" w:rsidR="00D64801" w:rsidRPr="00BA1B7B" w:rsidRDefault="00D64801" w:rsidP="00D64801">
      <w:pPr>
        <w:pStyle w:val="Default"/>
        <w:spacing w:before="120" w:after="120"/>
        <w:rPr>
          <w:rFonts w:ascii="Arial" w:hAnsi="Arial" w:cs="Arial"/>
          <w:color w:val="auto"/>
          <w:sz w:val="20"/>
          <w:szCs w:val="20"/>
        </w:rPr>
      </w:pPr>
      <w:r w:rsidRPr="00BA1B7B">
        <w:rPr>
          <w:rFonts w:ascii="Arial" w:hAnsi="Arial" w:cs="Arial"/>
          <w:color w:val="auto"/>
          <w:sz w:val="20"/>
          <w:szCs w:val="20"/>
        </w:rPr>
        <w:t>Sickle cell disease occurs when the structure of the beta globin chain is abnormal.</w:t>
      </w:r>
      <w:r w:rsidRPr="00BA1B7B">
        <w:rPr>
          <w:rFonts w:ascii="Arial" w:hAnsi="Arial" w:cs="Arial"/>
          <w:color w:val="auto"/>
          <w:sz w:val="20"/>
          <w:szCs w:val="20"/>
          <w:vertAlign w:val="superscript"/>
        </w:rPr>
        <w:t xml:space="preserve">25, 26 </w:t>
      </w:r>
      <w:r w:rsidRPr="00BA1B7B">
        <w:rPr>
          <w:rFonts w:ascii="Arial" w:hAnsi="Arial" w:cs="Arial"/>
          <w:color w:val="auto"/>
          <w:sz w:val="20"/>
          <w:szCs w:val="20"/>
        </w:rPr>
        <w:t>Defective genes produce abnormal haemoglobin beta chains resulting in Hb called HbS. Sickle cell disease occurs when the abnormal genes are inherited from both parents. Sickle cells have increased fragility and a shortened life span of 17 days causing chronic haemolytic anaemia which leads to episodes of ischaemia and pain known as sickle cell crises.  Maternal effects may include pain, infections, pulmonary complications, anaemia, pre-eclampsia and caesarean section. The fetus is at risk for spontaneous abortion, pre-term birth, intra-uterine growth restriction and perinatal death. It appears in the following forms:</w:t>
      </w:r>
    </w:p>
    <w:p w14:paraId="6A37FB35" w14:textId="77777777" w:rsidR="00D64801" w:rsidRPr="00BA1B7B" w:rsidRDefault="00D64801" w:rsidP="00D64801">
      <w:pPr>
        <w:pStyle w:val="Default"/>
        <w:rPr>
          <w:rFonts w:ascii="Arial" w:hAnsi="Arial" w:cs="Arial"/>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5"/>
        <w:gridCol w:w="3789"/>
        <w:gridCol w:w="3342"/>
      </w:tblGrid>
      <w:tr w:rsidR="00D64801" w:rsidRPr="00BA1B7B" w14:paraId="66D5D5CD" w14:textId="77777777" w:rsidTr="00D64801">
        <w:trPr>
          <w:trHeight w:val="798"/>
        </w:trPr>
        <w:tc>
          <w:tcPr>
            <w:tcW w:w="1920" w:type="dxa"/>
            <w:shd w:val="clear" w:color="auto" w:fill="FFFFFF" w:themeFill="background1"/>
          </w:tcPr>
          <w:p w14:paraId="00AD069C" w14:textId="77777777" w:rsidR="00D64801" w:rsidRPr="00BA1B7B" w:rsidRDefault="00D64801" w:rsidP="00D64801">
            <w:pPr>
              <w:pStyle w:val="Default"/>
              <w:rPr>
                <w:rFonts w:ascii="Arial" w:hAnsi="Arial" w:cs="Arial"/>
                <w:b/>
                <w:bCs/>
                <w:color w:val="auto"/>
                <w:sz w:val="20"/>
                <w:szCs w:val="20"/>
              </w:rPr>
            </w:pPr>
          </w:p>
          <w:p w14:paraId="08E346CC" w14:textId="77777777" w:rsidR="00D64801" w:rsidRPr="00BA1B7B" w:rsidRDefault="00D64801" w:rsidP="00D64801">
            <w:pPr>
              <w:pStyle w:val="Default"/>
              <w:rPr>
                <w:rFonts w:ascii="Arial" w:hAnsi="Arial" w:cs="Arial"/>
                <w:b/>
                <w:bCs/>
                <w:color w:val="auto"/>
                <w:sz w:val="20"/>
                <w:szCs w:val="20"/>
              </w:rPr>
            </w:pPr>
            <w:r w:rsidRPr="00BA1B7B">
              <w:rPr>
                <w:rFonts w:ascii="Arial" w:hAnsi="Arial" w:cs="Arial"/>
                <w:b/>
                <w:bCs/>
                <w:color w:val="auto"/>
                <w:sz w:val="20"/>
                <w:szCs w:val="20"/>
              </w:rPr>
              <w:t>Sickle cell trait</w:t>
            </w:r>
          </w:p>
          <w:p w14:paraId="121FB576" w14:textId="77777777" w:rsidR="00D64801" w:rsidRPr="00BA1B7B" w:rsidRDefault="00D64801" w:rsidP="00D64801">
            <w:pPr>
              <w:pStyle w:val="Default"/>
              <w:rPr>
                <w:rFonts w:ascii="Arial" w:hAnsi="Arial" w:cs="Arial"/>
                <w:b/>
                <w:bCs/>
                <w:color w:val="auto"/>
                <w:sz w:val="20"/>
                <w:szCs w:val="20"/>
              </w:rPr>
            </w:pPr>
          </w:p>
        </w:tc>
        <w:tc>
          <w:tcPr>
            <w:tcW w:w="3789" w:type="dxa"/>
            <w:shd w:val="clear" w:color="auto" w:fill="FFFFFF" w:themeFill="background1"/>
          </w:tcPr>
          <w:tbl>
            <w:tblPr>
              <w:tblW w:w="3573" w:type="dxa"/>
              <w:tblBorders>
                <w:top w:val="nil"/>
                <w:left w:val="nil"/>
                <w:bottom w:val="nil"/>
                <w:right w:val="nil"/>
              </w:tblBorders>
              <w:tblLook w:val="0000" w:firstRow="0" w:lastRow="0" w:firstColumn="0" w:lastColumn="0" w:noHBand="0" w:noVBand="0"/>
            </w:tblPr>
            <w:tblGrid>
              <w:gridCol w:w="3573"/>
            </w:tblGrid>
            <w:tr w:rsidR="00D64801" w:rsidRPr="00BA1B7B" w14:paraId="29D1DF10" w14:textId="77777777" w:rsidTr="00D64801">
              <w:trPr>
                <w:trHeight w:val="793"/>
              </w:trPr>
              <w:tc>
                <w:tcPr>
                  <w:tcW w:w="0" w:type="auto"/>
                </w:tcPr>
                <w:p w14:paraId="65813B6E" w14:textId="77777777" w:rsidR="00D64801" w:rsidRPr="00BA1B7B" w:rsidRDefault="00D64801" w:rsidP="00D64801">
                  <w:pPr>
                    <w:autoSpaceDE w:val="0"/>
                    <w:autoSpaceDN w:val="0"/>
                    <w:adjustRightInd w:val="0"/>
                    <w:rPr>
                      <w:rFonts w:ascii="Arial" w:hAnsi="Arial" w:cs="Arial"/>
                      <w:b/>
                      <w:sz w:val="20"/>
                      <w:szCs w:val="20"/>
                    </w:rPr>
                  </w:pPr>
                  <w:r w:rsidRPr="00BA1B7B">
                    <w:rPr>
                      <w:rFonts w:ascii="Arial" w:hAnsi="Arial" w:cs="Arial"/>
                      <w:b/>
                      <w:sz w:val="20"/>
                      <w:szCs w:val="20"/>
                    </w:rPr>
                    <w:t xml:space="preserve">One normal β gene in one chromosome and one abnormal S (β gene mutation) in the other chromosome e.g. β/βS </w:t>
                  </w:r>
                </w:p>
              </w:tc>
            </w:tr>
          </w:tbl>
          <w:p w14:paraId="736740C7" w14:textId="77777777" w:rsidR="00D64801" w:rsidRPr="00BA1B7B" w:rsidRDefault="00D64801" w:rsidP="00D64801">
            <w:pPr>
              <w:pStyle w:val="Default"/>
              <w:rPr>
                <w:rFonts w:ascii="Arial" w:hAnsi="Arial" w:cs="Arial"/>
                <w:b/>
                <w:bCs/>
                <w:color w:val="auto"/>
                <w:sz w:val="20"/>
                <w:szCs w:val="20"/>
              </w:rPr>
            </w:pPr>
          </w:p>
        </w:tc>
        <w:tc>
          <w:tcPr>
            <w:tcW w:w="4108" w:type="dxa"/>
            <w:shd w:val="clear" w:color="auto" w:fill="FFFFFF" w:themeFill="background1"/>
          </w:tcPr>
          <w:p w14:paraId="5B2CF592" w14:textId="77777777" w:rsidR="00D64801" w:rsidRPr="00BA1B7B" w:rsidRDefault="00D64801" w:rsidP="00D64801">
            <w:pPr>
              <w:pStyle w:val="Default"/>
              <w:rPr>
                <w:rFonts w:ascii="Arial" w:hAnsi="Arial" w:cs="Arial"/>
                <w:b/>
                <w:color w:val="auto"/>
                <w:sz w:val="20"/>
                <w:szCs w:val="20"/>
              </w:rPr>
            </w:pPr>
            <w:r w:rsidRPr="00BA1B7B">
              <w:rPr>
                <w:rFonts w:ascii="Arial" w:hAnsi="Arial" w:cs="Arial"/>
                <w:b/>
                <w:color w:val="auto"/>
                <w:sz w:val="20"/>
                <w:szCs w:val="20"/>
              </w:rPr>
              <w:t xml:space="preserve">Asymptomatic normally, normal RBC indices. Sickle cell formation can occur in during high fever and significant hypoxia </w:t>
            </w:r>
          </w:p>
        </w:tc>
      </w:tr>
      <w:tr w:rsidR="00D64801" w:rsidRPr="00BA1B7B" w14:paraId="355E4DAD" w14:textId="77777777" w:rsidTr="00D64801">
        <w:trPr>
          <w:trHeight w:val="584"/>
        </w:trPr>
        <w:tc>
          <w:tcPr>
            <w:tcW w:w="1920" w:type="dxa"/>
            <w:shd w:val="clear" w:color="auto" w:fill="FFFFFF" w:themeFill="background1"/>
          </w:tcPr>
          <w:p w14:paraId="34780BAA" w14:textId="77777777" w:rsidR="00D64801" w:rsidRPr="00BA1B7B" w:rsidRDefault="00D64801" w:rsidP="00D64801">
            <w:pPr>
              <w:pStyle w:val="Default"/>
              <w:rPr>
                <w:rFonts w:ascii="Arial" w:hAnsi="Arial" w:cs="Arial"/>
                <w:b/>
                <w:bCs/>
                <w:color w:val="auto"/>
                <w:sz w:val="20"/>
                <w:szCs w:val="20"/>
              </w:rPr>
            </w:pPr>
            <w:r w:rsidRPr="00BA1B7B">
              <w:rPr>
                <w:rFonts w:ascii="Arial" w:hAnsi="Arial" w:cs="Arial"/>
                <w:b/>
                <w:color w:val="auto"/>
                <w:sz w:val="20"/>
                <w:szCs w:val="20"/>
              </w:rPr>
              <w:t>Sickle cell disease/anaemia</w:t>
            </w:r>
          </w:p>
        </w:tc>
        <w:tc>
          <w:tcPr>
            <w:tcW w:w="3789" w:type="dxa"/>
            <w:shd w:val="clear" w:color="auto" w:fill="FFFFFF" w:themeFill="background1"/>
          </w:tcPr>
          <w:p w14:paraId="7C644BB3" w14:textId="77777777" w:rsidR="00D64801" w:rsidRPr="00BA1B7B" w:rsidRDefault="00D64801" w:rsidP="00D64801">
            <w:pPr>
              <w:pStyle w:val="Default"/>
              <w:rPr>
                <w:rFonts w:ascii="Arial" w:hAnsi="Arial" w:cs="Arial"/>
                <w:b/>
                <w:bCs/>
                <w:color w:val="auto"/>
                <w:sz w:val="20"/>
                <w:szCs w:val="20"/>
              </w:rPr>
            </w:pPr>
            <w:r w:rsidRPr="00BA1B7B">
              <w:rPr>
                <w:rFonts w:ascii="Arial" w:hAnsi="Arial" w:cs="Arial"/>
                <w:b/>
                <w:color w:val="auto"/>
                <w:sz w:val="20"/>
                <w:szCs w:val="20"/>
              </w:rPr>
              <w:t>Two abnormal S (β gene mutations), one in each chromosome ΒS/βS</w:t>
            </w:r>
          </w:p>
        </w:tc>
        <w:tc>
          <w:tcPr>
            <w:tcW w:w="4108" w:type="dxa"/>
            <w:shd w:val="clear" w:color="auto" w:fill="FFFFFF" w:themeFill="background1"/>
          </w:tcPr>
          <w:p w14:paraId="2EB91527" w14:textId="77777777" w:rsidR="00D64801" w:rsidRPr="00BA1B7B" w:rsidRDefault="00D64801" w:rsidP="00D64801">
            <w:pPr>
              <w:pStyle w:val="Default"/>
              <w:rPr>
                <w:rFonts w:ascii="Arial" w:hAnsi="Arial" w:cs="Arial"/>
                <w:b/>
                <w:color w:val="auto"/>
                <w:sz w:val="20"/>
                <w:szCs w:val="20"/>
              </w:rPr>
            </w:pPr>
            <w:r w:rsidRPr="00BA1B7B">
              <w:rPr>
                <w:rFonts w:ascii="Arial" w:hAnsi="Arial" w:cs="Arial"/>
                <w:b/>
                <w:color w:val="auto"/>
                <w:sz w:val="20"/>
                <w:szCs w:val="20"/>
              </w:rPr>
              <w:t>Mild to moderate chronic haemolytic anaemia, vaso-occlusion - brain, chest, bones, kidneys, spleen and placenta. Increased maternal and perinatal mortality</w:t>
            </w:r>
          </w:p>
          <w:p w14:paraId="0D6D4E37" w14:textId="77777777" w:rsidR="00D64801" w:rsidRPr="00BA1B7B" w:rsidRDefault="00D64801" w:rsidP="00D64801">
            <w:pPr>
              <w:pStyle w:val="Default"/>
              <w:rPr>
                <w:rFonts w:ascii="Arial" w:hAnsi="Arial" w:cs="Arial"/>
                <w:b/>
                <w:bCs/>
                <w:color w:val="auto"/>
                <w:sz w:val="20"/>
                <w:szCs w:val="20"/>
              </w:rPr>
            </w:pPr>
          </w:p>
        </w:tc>
      </w:tr>
    </w:tbl>
    <w:p w14:paraId="7DD6BA70" w14:textId="77777777" w:rsidR="00D64801" w:rsidRPr="00BA1B7B" w:rsidRDefault="00D64801" w:rsidP="00D64801">
      <w:pPr>
        <w:pStyle w:val="Default"/>
        <w:rPr>
          <w:rFonts w:ascii="Arial" w:hAnsi="Arial" w:cs="Arial"/>
          <w:color w:val="auto"/>
          <w:sz w:val="20"/>
          <w:szCs w:val="20"/>
        </w:rPr>
      </w:pPr>
    </w:p>
    <w:p w14:paraId="31BB5DAA" w14:textId="77777777" w:rsidR="00D64801" w:rsidRPr="00BA1B7B" w:rsidRDefault="00D64801" w:rsidP="00D64801">
      <w:pPr>
        <w:pStyle w:val="Default"/>
        <w:rPr>
          <w:rFonts w:ascii="Arial" w:hAnsi="Arial" w:cs="Arial"/>
          <w:color w:val="auto"/>
          <w:sz w:val="20"/>
          <w:szCs w:val="20"/>
        </w:rPr>
      </w:pPr>
      <w:r w:rsidRPr="00BA1B7B">
        <w:rPr>
          <w:rFonts w:ascii="Arial" w:hAnsi="Arial" w:cs="Arial"/>
          <w:color w:val="auto"/>
          <w:sz w:val="20"/>
          <w:szCs w:val="20"/>
        </w:rPr>
        <w:t xml:space="preserve">The clinical significance of these conditions is quite variable. For carriers of thalassaemia / haemoglobinopathy, generally, there are no clinical consequences. However, pregnancy increases demand on red cell production and this may worsen maternal anaemia and influence fetal growth. </w:t>
      </w:r>
      <w:r w:rsidRPr="00BA1B7B">
        <w:rPr>
          <w:rFonts w:ascii="Arial" w:hAnsi="Arial" w:cs="Arial"/>
          <w:color w:val="auto"/>
          <w:sz w:val="20"/>
          <w:szCs w:val="20"/>
        </w:rPr>
        <w:lastRenderedPageBreak/>
        <w:t>Patients with sickle cell disease, (depending on the inherited disorder); do have significant clinical requirements, including regular blood transfusions and drug therapy.</w:t>
      </w:r>
    </w:p>
    <w:p w14:paraId="7C0509B6" w14:textId="77777777" w:rsidR="00D64801" w:rsidRPr="00BA1B7B" w:rsidRDefault="00D64801" w:rsidP="00D64801">
      <w:pPr>
        <w:pStyle w:val="Default"/>
        <w:rPr>
          <w:rFonts w:ascii="Arial" w:hAnsi="Arial" w:cs="Arial"/>
          <w:color w:val="auto"/>
          <w:sz w:val="20"/>
          <w:szCs w:val="20"/>
        </w:rPr>
      </w:pPr>
    </w:p>
    <w:p w14:paraId="68528BD8" w14:textId="77777777" w:rsidR="00D64801" w:rsidRPr="00BA1B7B" w:rsidRDefault="00D64801" w:rsidP="00D64801">
      <w:pPr>
        <w:pStyle w:val="Default"/>
        <w:rPr>
          <w:rFonts w:ascii="Arial" w:hAnsi="Arial" w:cs="Arial"/>
          <w:b/>
          <w:color w:val="auto"/>
          <w:sz w:val="20"/>
          <w:szCs w:val="20"/>
        </w:rPr>
      </w:pPr>
      <w:r w:rsidRPr="00BA1B7B">
        <w:rPr>
          <w:rFonts w:ascii="Arial" w:hAnsi="Arial" w:cs="Arial"/>
          <w:b/>
          <w:color w:val="auto"/>
          <w:sz w:val="20"/>
          <w:szCs w:val="20"/>
        </w:rPr>
        <w:t>Investigations</w:t>
      </w:r>
    </w:p>
    <w:p w14:paraId="41CBB9B5" w14:textId="77777777" w:rsidR="00D64801" w:rsidRPr="00BA1B7B" w:rsidRDefault="00D64801" w:rsidP="00D64801">
      <w:pPr>
        <w:pStyle w:val="Default"/>
        <w:rPr>
          <w:rFonts w:ascii="Arial" w:hAnsi="Arial" w:cs="Arial"/>
          <w:color w:val="auto"/>
          <w:sz w:val="20"/>
          <w:szCs w:val="20"/>
        </w:rPr>
      </w:pPr>
    </w:p>
    <w:p w14:paraId="3FA01F3C" w14:textId="77777777" w:rsidR="00D64801" w:rsidRPr="00BA1B7B" w:rsidRDefault="00D64801" w:rsidP="00D64801">
      <w:pPr>
        <w:pStyle w:val="Default"/>
        <w:rPr>
          <w:rFonts w:ascii="Arial" w:hAnsi="Arial" w:cs="Arial"/>
          <w:color w:val="auto"/>
          <w:sz w:val="20"/>
          <w:szCs w:val="20"/>
        </w:rPr>
      </w:pPr>
      <w:r w:rsidRPr="00BA1B7B">
        <w:rPr>
          <w:rFonts w:ascii="Arial" w:hAnsi="Arial" w:cs="Arial"/>
          <w:color w:val="auto"/>
          <w:sz w:val="20"/>
          <w:szCs w:val="20"/>
        </w:rPr>
        <w:t>RANZCOG</w:t>
      </w:r>
      <w:r w:rsidRPr="00BA1B7B">
        <w:rPr>
          <w:rFonts w:ascii="Arial" w:hAnsi="Arial" w:cs="Arial"/>
          <w:color w:val="auto"/>
          <w:sz w:val="20"/>
          <w:szCs w:val="20"/>
          <w:vertAlign w:val="superscript"/>
        </w:rPr>
        <w:t>5</w:t>
      </w:r>
      <w:r w:rsidRPr="00BA1B7B">
        <w:rPr>
          <w:rFonts w:ascii="Arial" w:hAnsi="Arial" w:cs="Arial"/>
          <w:color w:val="auto"/>
          <w:sz w:val="20"/>
          <w:szCs w:val="20"/>
        </w:rPr>
        <w:t xml:space="preserve"> recommends that Full Blood Examination (FBE) is a minimum requirement to screen women, as this will provide Mean Corpuscular Volume (MCV) and Mean Corpuscular Haemoglobin (MCH) red cell indices. Reviewing MCV and MCH will identify some but not all carriers of alpha and beta globin gene changes. Also, note that some beta globin changes (sickle cell) result in normal red cell indices and relies on haemoglobin electrophoresis (HbEPG). Therefore EH recommends that “high risk” populations should be fully screened at the initial antenatal visit. </w:t>
      </w:r>
    </w:p>
    <w:p w14:paraId="7CDB0966" w14:textId="77777777" w:rsidR="00D64801" w:rsidRPr="00BA1B7B" w:rsidRDefault="00D64801" w:rsidP="00D64801">
      <w:pPr>
        <w:pStyle w:val="Default"/>
        <w:rPr>
          <w:rFonts w:ascii="Arial" w:hAnsi="Arial" w:cs="Arial"/>
          <w:color w:val="auto"/>
          <w:sz w:val="20"/>
          <w:szCs w:val="20"/>
        </w:rPr>
      </w:pPr>
    </w:p>
    <w:p w14:paraId="7A048EA1" w14:textId="77777777" w:rsidR="00D64801" w:rsidRPr="00BA1B7B" w:rsidRDefault="00D64801" w:rsidP="00D64801">
      <w:pPr>
        <w:pStyle w:val="Default"/>
        <w:rPr>
          <w:rFonts w:ascii="Arial" w:hAnsi="Arial" w:cs="Arial"/>
          <w:color w:val="auto"/>
          <w:sz w:val="20"/>
          <w:szCs w:val="20"/>
        </w:rPr>
      </w:pPr>
    </w:p>
    <w:p w14:paraId="1BE0AB01" w14:textId="77777777" w:rsidR="00D64801" w:rsidRPr="00BA1B7B" w:rsidRDefault="00D64801" w:rsidP="00D64801">
      <w:pPr>
        <w:pStyle w:val="Default"/>
        <w:rPr>
          <w:rFonts w:ascii="Arial" w:hAnsi="Arial" w:cs="Arial"/>
          <w:color w:val="auto"/>
          <w:sz w:val="20"/>
          <w:szCs w:val="20"/>
          <w:vertAlign w:val="superscript"/>
        </w:rPr>
      </w:pPr>
      <w:r w:rsidRPr="00BA1B7B">
        <w:rPr>
          <w:rFonts w:ascii="Arial" w:hAnsi="Arial" w:cs="Arial"/>
          <w:color w:val="auto"/>
          <w:sz w:val="20"/>
          <w:szCs w:val="20"/>
        </w:rPr>
        <w:t>Haemoglobinothapy screening requires:</w:t>
      </w:r>
    </w:p>
    <w:p w14:paraId="150D0A3A" w14:textId="77777777" w:rsidR="00D64801" w:rsidRPr="00BA1B7B" w:rsidRDefault="00D64801" w:rsidP="00D64801">
      <w:pPr>
        <w:pStyle w:val="Default"/>
        <w:rPr>
          <w:rFonts w:ascii="Arial" w:hAnsi="Arial" w:cs="Arial"/>
          <w:color w:val="auto"/>
          <w:sz w:val="20"/>
          <w:szCs w:val="20"/>
        </w:rPr>
      </w:pPr>
    </w:p>
    <w:p w14:paraId="304E03C6" w14:textId="77777777" w:rsidR="00D64801" w:rsidRPr="00BA1B7B" w:rsidRDefault="00D64801" w:rsidP="004A22FD">
      <w:pPr>
        <w:pStyle w:val="Default"/>
        <w:numPr>
          <w:ilvl w:val="0"/>
          <w:numId w:val="43"/>
        </w:numPr>
        <w:rPr>
          <w:rFonts w:ascii="Arial" w:hAnsi="Arial" w:cs="Arial"/>
          <w:color w:val="auto"/>
          <w:sz w:val="20"/>
          <w:szCs w:val="20"/>
        </w:rPr>
      </w:pPr>
      <w:r w:rsidRPr="00BA1B7B">
        <w:rPr>
          <w:rFonts w:ascii="Arial" w:hAnsi="Arial" w:cs="Arial"/>
          <w:color w:val="auto"/>
          <w:sz w:val="20"/>
          <w:szCs w:val="20"/>
        </w:rPr>
        <w:t>FBE</w:t>
      </w:r>
    </w:p>
    <w:p w14:paraId="3BF39F51" w14:textId="77777777" w:rsidR="00D64801" w:rsidRPr="00BA1B7B" w:rsidRDefault="00D64801" w:rsidP="00D64801">
      <w:pPr>
        <w:pStyle w:val="Default"/>
        <w:rPr>
          <w:rFonts w:ascii="Arial" w:hAnsi="Arial" w:cs="Arial"/>
          <w:color w:val="auto"/>
          <w:sz w:val="20"/>
          <w:szCs w:val="20"/>
        </w:rPr>
      </w:pPr>
    </w:p>
    <w:p w14:paraId="0C33BED8" w14:textId="77777777" w:rsidR="00D64801" w:rsidRPr="00BA1B7B" w:rsidRDefault="00D64801" w:rsidP="004A22FD">
      <w:pPr>
        <w:pStyle w:val="Default"/>
        <w:numPr>
          <w:ilvl w:val="0"/>
          <w:numId w:val="43"/>
        </w:numPr>
        <w:rPr>
          <w:rFonts w:ascii="Arial" w:hAnsi="Arial" w:cs="Arial"/>
          <w:color w:val="auto"/>
          <w:sz w:val="20"/>
          <w:szCs w:val="20"/>
        </w:rPr>
      </w:pPr>
      <w:r w:rsidRPr="00BA1B7B">
        <w:rPr>
          <w:rFonts w:ascii="Arial" w:hAnsi="Arial" w:cs="Arial"/>
          <w:color w:val="auto"/>
          <w:sz w:val="20"/>
          <w:szCs w:val="20"/>
        </w:rPr>
        <w:t>Serum ferritin</w:t>
      </w:r>
    </w:p>
    <w:p w14:paraId="382D24D5" w14:textId="77777777" w:rsidR="00D64801" w:rsidRPr="00BA1B7B" w:rsidRDefault="00D64801" w:rsidP="00D64801">
      <w:pPr>
        <w:pStyle w:val="Default"/>
        <w:rPr>
          <w:rFonts w:ascii="Arial" w:hAnsi="Arial" w:cs="Arial"/>
          <w:color w:val="auto"/>
          <w:sz w:val="20"/>
          <w:szCs w:val="20"/>
        </w:rPr>
      </w:pPr>
    </w:p>
    <w:p w14:paraId="36EADA58" w14:textId="56BCCCE6" w:rsidR="00D64801" w:rsidRPr="0057448F" w:rsidRDefault="00D64801" w:rsidP="004A22FD">
      <w:pPr>
        <w:pStyle w:val="Default"/>
        <w:numPr>
          <w:ilvl w:val="0"/>
          <w:numId w:val="43"/>
        </w:numPr>
        <w:rPr>
          <w:rFonts w:ascii="Arial" w:hAnsi="Arial" w:cs="Arial"/>
          <w:color w:val="auto"/>
          <w:sz w:val="20"/>
          <w:szCs w:val="20"/>
        </w:rPr>
      </w:pPr>
      <w:r w:rsidRPr="00BA1B7B">
        <w:rPr>
          <w:rFonts w:ascii="Arial" w:hAnsi="Arial" w:cs="Arial"/>
          <w:color w:val="auto"/>
          <w:sz w:val="20"/>
          <w:szCs w:val="20"/>
        </w:rPr>
        <w:t xml:space="preserve">Haemoglobin electrophoresis – if suggestive of alpha thalassaemia, DNA analysis indicated </w:t>
      </w:r>
      <w:r w:rsidRPr="00BA1B7B">
        <w:rPr>
          <w:rFonts w:ascii="Arial" w:hAnsi="Arial" w:cs="Arial"/>
          <w:b/>
          <w:color w:val="auto"/>
          <w:sz w:val="20"/>
          <w:szCs w:val="20"/>
        </w:rPr>
        <w:t>(pathology automatically screens)</w:t>
      </w:r>
    </w:p>
    <w:p w14:paraId="34EDAD8D" w14:textId="77777777" w:rsidR="0057448F" w:rsidRDefault="0057448F" w:rsidP="0057448F">
      <w:pPr>
        <w:pStyle w:val="ListParagraph"/>
        <w:rPr>
          <w:rFonts w:ascii="Arial" w:hAnsi="Arial" w:cs="Arial"/>
          <w:sz w:val="20"/>
          <w:szCs w:val="20"/>
        </w:rPr>
      </w:pPr>
    </w:p>
    <w:p w14:paraId="240D7FD4" w14:textId="70B04E97" w:rsidR="0057448F" w:rsidRDefault="0057448F" w:rsidP="0057448F">
      <w:pPr>
        <w:pStyle w:val="Default"/>
        <w:rPr>
          <w:rFonts w:ascii="Arial" w:hAnsi="Arial" w:cs="Arial"/>
          <w:color w:val="auto"/>
          <w:sz w:val="20"/>
          <w:szCs w:val="20"/>
        </w:rPr>
      </w:pPr>
    </w:p>
    <w:p w14:paraId="36C3DAF6" w14:textId="77777777" w:rsidR="0057448F" w:rsidRPr="00BA1B7B" w:rsidRDefault="0057448F" w:rsidP="0057448F">
      <w:pPr>
        <w:pStyle w:val="Default"/>
        <w:rPr>
          <w:rFonts w:ascii="Arial" w:hAnsi="Arial" w:cs="Arial"/>
          <w:color w:val="auto"/>
          <w:sz w:val="20"/>
          <w:szCs w:val="20"/>
        </w:rPr>
      </w:pPr>
    </w:p>
    <w:p w14:paraId="6AC72913" w14:textId="77777777" w:rsidR="00D64801" w:rsidRPr="00BA1B7B" w:rsidRDefault="00D64801" w:rsidP="00D64801">
      <w:pPr>
        <w:pStyle w:val="ListParagraph"/>
        <w:rPr>
          <w:rFonts w:ascii="Arial" w:hAnsi="Arial" w:cs="Arial"/>
          <w:sz w:val="20"/>
          <w:szCs w:val="20"/>
        </w:rPr>
      </w:pPr>
    </w:p>
    <w:tbl>
      <w:tblPr>
        <w:tblW w:w="101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5312"/>
        <w:gridCol w:w="4853"/>
      </w:tblGrid>
      <w:tr w:rsidR="00D64801" w:rsidRPr="00BA1B7B" w14:paraId="465CF951" w14:textId="77777777" w:rsidTr="00D64801">
        <w:trPr>
          <w:trHeight w:val="281"/>
        </w:trPr>
        <w:tc>
          <w:tcPr>
            <w:tcW w:w="10165" w:type="dxa"/>
            <w:gridSpan w:val="2"/>
            <w:shd w:val="clear" w:color="auto" w:fill="FFFFFF"/>
          </w:tcPr>
          <w:p w14:paraId="757FA633" w14:textId="77777777" w:rsidR="00D64801" w:rsidRPr="00BA1B7B" w:rsidRDefault="00D64801" w:rsidP="00D64801">
            <w:pPr>
              <w:shd w:val="clear" w:color="auto" w:fill="FFFFFF"/>
              <w:jc w:val="center"/>
              <w:rPr>
                <w:rFonts w:ascii="Arial" w:eastAsia="Calibri" w:hAnsi="Arial" w:cs="Arial"/>
                <w:b/>
                <w:sz w:val="20"/>
                <w:szCs w:val="20"/>
              </w:rPr>
            </w:pPr>
          </w:p>
          <w:p w14:paraId="3D17ECBC" w14:textId="77777777" w:rsidR="00D64801" w:rsidRPr="00BA1B7B" w:rsidRDefault="00D64801" w:rsidP="00D64801">
            <w:pPr>
              <w:shd w:val="clear" w:color="auto" w:fill="FFFFFF"/>
              <w:jc w:val="center"/>
              <w:rPr>
                <w:rFonts w:ascii="Arial" w:eastAsia="Calibri" w:hAnsi="Arial" w:cs="Arial"/>
                <w:b/>
                <w:sz w:val="20"/>
                <w:szCs w:val="20"/>
              </w:rPr>
            </w:pPr>
            <w:r w:rsidRPr="00BA1B7B">
              <w:rPr>
                <w:rFonts w:ascii="Arial" w:eastAsia="Calibri" w:hAnsi="Arial" w:cs="Arial"/>
                <w:b/>
                <w:sz w:val="20"/>
                <w:szCs w:val="20"/>
              </w:rPr>
              <w:t>Populations at risk of Haemoglobinothapies</w:t>
            </w:r>
          </w:p>
          <w:p w14:paraId="59E1CC06" w14:textId="77777777" w:rsidR="00D64801" w:rsidRPr="00BA1B7B" w:rsidRDefault="00D64801" w:rsidP="00D64801">
            <w:pPr>
              <w:shd w:val="clear" w:color="auto" w:fill="FFFFFF"/>
              <w:jc w:val="center"/>
              <w:rPr>
                <w:rFonts w:ascii="Arial" w:eastAsia="Calibri" w:hAnsi="Arial" w:cs="Arial"/>
                <w:b/>
                <w:sz w:val="20"/>
                <w:szCs w:val="20"/>
              </w:rPr>
            </w:pPr>
          </w:p>
        </w:tc>
      </w:tr>
      <w:tr w:rsidR="00D64801" w:rsidRPr="00BA1B7B" w14:paraId="5F8EEEFA" w14:textId="77777777" w:rsidTr="00D64801">
        <w:trPr>
          <w:trHeight w:val="309"/>
        </w:trPr>
        <w:tc>
          <w:tcPr>
            <w:tcW w:w="5312" w:type="dxa"/>
            <w:shd w:val="clear" w:color="auto" w:fill="FFFFFF"/>
          </w:tcPr>
          <w:p w14:paraId="77D56AEB" w14:textId="77777777" w:rsidR="00D64801" w:rsidRPr="00BA1B7B" w:rsidRDefault="00D64801" w:rsidP="00D64801">
            <w:pPr>
              <w:shd w:val="clear" w:color="auto" w:fill="FFFFFF"/>
              <w:rPr>
                <w:rFonts w:ascii="Arial" w:eastAsia="Calibri" w:hAnsi="Arial" w:cs="Arial"/>
                <w:b/>
                <w:sz w:val="20"/>
                <w:szCs w:val="20"/>
              </w:rPr>
            </w:pPr>
            <w:r w:rsidRPr="00BA1B7B">
              <w:rPr>
                <w:rFonts w:ascii="Arial" w:eastAsia="Calibri" w:hAnsi="Arial" w:cs="Arial"/>
                <w:b/>
                <w:sz w:val="20"/>
                <w:szCs w:val="20"/>
              </w:rPr>
              <w:t>Thalassaemia</w:t>
            </w:r>
          </w:p>
        </w:tc>
        <w:tc>
          <w:tcPr>
            <w:tcW w:w="4853" w:type="dxa"/>
            <w:shd w:val="clear" w:color="auto" w:fill="FFFFFF"/>
          </w:tcPr>
          <w:p w14:paraId="5173B90C" w14:textId="77777777" w:rsidR="00D64801" w:rsidRPr="00BA1B7B" w:rsidRDefault="00D64801" w:rsidP="00D64801">
            <w:pPr>
              <w:shd w:val="clear" w:color="auto" w:fill="FFFFFF"/>
              <w:rPr>
                <w:rFonts w:ascii="Arial" w:eastAsia="Calibri" w:hAnsi="Arial" w:cs="Arial"/>
                <w:b/>
                <w:sz w:val="20"/>
                <w:szCs w:val="20"/>
              </w:rPr>
            </w:pPr>
            <w:r w:rsidRPr="00BA1B7B">
              <w:rPr>
                <w:rFonts w:ascii="Arial" w:eastAsia="Calibri" w:hAnsi="Arial" w:cs="Arial"/>
                <w:b/>
                <w:sz w:val="20"/>
                <w:szCs w:val="20"/>
              </w:rPr>
              <w:t>Sickle Cell disease</w:t>
            </w:r>
          </w:p>
        </w:tc>
      </w:tr>
      <w:tr w:rsidR="00D64801" w:rsidRPr="00BA1B7B" w14:paraId="1BB9AC67" w14:textId="77777777" w:rsidTr="00D64801">
        <w:trPr>
          <w:trHeight w:val="309"/>
        </w:trPr>
        <w:tc>
          <w:tcPr>
            <w:tcW w:w="5312" w:type="dxa"/>
            <w:shd w:val="clear" w:color="auto" w:fill="FFFFFF"/>
          </w:tcPr>
          <w:p w14:paraId="0972E310" w14:textId="77777777" w:rsidR="00D64801" w:rsidRPr="00BA1B7B" w:rsidRDefault="00D64801" w:rsidP="004A22FD">
            <w:pPr>
              <w:numPr>
                <w:ilvl w:val="0"/>
                <w:numId w:val="45"/>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African</w:t>
            </w:r>
          </w:p>
          <w:p w14:paraId="177D820E" w14:textId="77777777" w:rsidR="00D64801" w:rsidRPr="00BA1B7B" w:rsidRDefault="00D64801" w:rsidP="004A22FD">
            <w:pPr>
              <w:numPr>
                <w:ilvl w:val="0"/>
                <w:numId w:val="45"/>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American/British/Caribbean African</w:t>
            </w:r>
          </w:p>
          <w:p w14:paraId="44F31120" w14:textId="77777777" w:rsidR="00D64801" w:rsidRPr="00BA1B7B" w:rsidRDefault="00D64801" w:rsidP="004A22FD">
            <w:pPr>
              <w:numPr>
                <w:ilvl w:val="0"/>
                <w:numId w:val="45"/>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Middle Eastern</w:t>
            </w:r>
          </w:p>
          <w:p w14:paraId="3BE4E1C0" w14:textId="77777777" w:rsidR="00D64801" w:rsidRPr="00BA1B7B" w:rsidRDefault="00D64801" w:rsidP="004A22FD">
            <w:pPr>
              <w:numPr>
                <w:ilvl w:val="0"/>
                <w:numId w:val="45"/>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Pacific Islanders</w:t>
            </w:r>
          </w:p>
          <w:p w14:paraId="56B55685" w14:textId="77777777" w:rsidR="00D64801" w:rsidRPr="00BA1B7B" w:rsidRDefault="00D64801" w:rsidP="004A22FD">
            <w:pPr>
              <w:numPr>
                <w:ilvl w:val="0"/>
                <w:numId w:val="45"/>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New Zealand Maori</w:t>
            </w:r>
          </w:p>
          <w:p w14:paraId="05C50902" w14:textId="77777777" w:rsidR="00D64801" w:rsidRPr="00BA1B7B" w:rsidRDefault="00D64801" w:rsidP="004A22FD">
            <w:pPr>
              <w:numPr>
                <w:ilvl w:val="0"/>
                <w:numId w:val="45"/>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Southern Europe- Mediterranean</w:t>
            </w:r>
          </w:p>
          <w:p w14:paraId="72F73949" w14:textId="77777777" w:rsidR="00D64801" w:rsidRPr="00BA1B7B" w:rsidRDefault="00D64801" w:rsidP="004A22FD">
            <w:pPr>
              <w:numPr>
                <w:ilvl w:val="0"/>
                <w:numId w:val="45"/>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Indian subcontinent</w:t>
            </w:r>
          </w:p>
          <w:p w14:paraId="115DA221" w14:textId="77777777" w:rsidR="00D64801" w:rsidRPr="00BA1B7B" w:rsidRDefault="00D64801" w:rsidP="004A22FD">
            <w:pPr>
              <w:numPr>
                <w:ilvl w:val="0"/>
                <w:numId w:val="45"/>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North West &amp; Northern Territory Australian Indigenous communities</w:t>
            </w:r>
          </w:p>
          <w:p w14:paraId="50218229" w14:textId="77777777" w:rsidR="00D64801" w:rsidRPr="00BA1B7B" w:rsidRDefault="00D64801" w:rsidP="00D64801">
            <w:pPr>
              <w:shd w:val="clear" w:color="auto" w:fill="FFFFFF"/>
              <w:ind w:left="720"/>
              <w:contextualSpacing/>
              <w:rPr>
                <w:rFonts w:ascii="Arial" w:eastAsia="Calibri" w:hAnsi="Arial" w:cs="Arial"/>
                <w:sz w:val="20"/>
                <w:szCs w:val="20"/>
              </w:rPr>
            </w:pPr>
          </w:p>
        </w:tc>
        <w:tc>
          <w:tcPr>
            <w:tcW w:w="4853" w:type="dxa"/>
            <w:shd w:val="clear" w:color="auto" w:fill="FFFFFF"/>
          </w:tcPr>
          <w:p w14:paraId="308B453F" w14:textId="77777777" w:rsidR="00D64801" w:rsidRPr="00BA1B7B" w:rsidRDefault="00D64801" w:rsidP="004A22FD">
            <w:pPr>
              <w:numPr>
                <w:ilvl w:val="0"/>
                <w:numId w:val="46"/>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African</w:t>
            </w:r>
          </w:p>
          <w:p w14:paraId="69EC605E" w14:textId="77777777" w:rsidR="00D64801" w:rsidRPr="00BA1B7B" w:rsidRDefault="00D64801" w:rsidP="004A22FD">
            <w:pPr>
              <w:numPr>
                <w:ilvl w:val="0"/>
                <w:numId w:val="46"/>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American/British/Caribbean African</w:t>
            </w:r>
          </w:p>
          <w:p w14:paraId="2C39F83A" w14:textId="77777777" w:rsidR="00D64801" w:rsidRPr="00BA1B7B" w:rsidRDefault="00D64801" w:rsidP="004A22FD">
            <w:pPr>
              <w:numPr>
                <w:ilvl w:val="0"/>
                <w:numId w:val="46"/>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 xml:space="preserve">Middle Eastern Health </w:t>
            </w:r>
          </w:p>
          <w:p w14:paraId="46F48922" w14:textId="77777777" w:rsidR="00D64801" w:rsidRPr="00BA1B7B" w:rsidRDefault="00D64801" w:rsidP="004A22FD">
            <w:pPr>
              <w:numPr>
                <w:ilvl w:val="0"/>
                <w:numId w:val="46"/>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Southern Europe- Mediterranean</w:t>
            </w:r>
          </w:p>
          <w:p w14:paraId="2E3DC2CE" w14:textId="77777777" w:rsidR="00D64801" w:rsidRPr="00BA1B7B" w:rsidRDefault="00D64801" w:rsidP="004A22FD">
            <w:pPr>
              <w:numPr>
                <w:ilvl w:val="0"/>
                <w:numId w:val="46"/>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Indian subcontinent</w:t>
            </w:r>
          </w:p>
          <w:p w14:paraId="1267306E" w14:textId="77777777" w:rsidR="00D64801" w:rsidRPr="00BA1B7B" w:rsidRDefault="00D64801" w:rsidP="004A22FD">
            <w:pPr>
              <w:numPr>
                <w:ilvl w:val="0"/>
                <w:numId w:val="46"/>
              </w:numPr>
              <w:shd w:val="clear" w:color="auto" w:fill="FFFFFF"/>
              <w:spacing w:after="200" w:line="276" w:lineRule="auto"/>
              <w:contextualSpacing/>
              <w:rPr>
                <w:rFonts w:ascii="Arial" w:eastAsia="Calibri" w:hAnsi="Arial" w:cs="Arial"/>
                <w:sz w:val="20"/>
                <w:szCs w:val="20"/>
              </w:rPr>
            </w:pPr>
            <w:r w:rsidRPr="00BA1B7B">
              <w:rPr>
                <w:rFonts w:ascii="Arial" w:eastAsia="Calibri" w:hAnsi="Arial" w:cs="Arial"/>
                <w:sz w:val="20"/>
                <w:szCs w:val="20"/>
              </w:rPr>
              <w:t>South American</w:t>
            </w:r>
          </w:p>
        </w:tc>
      </w:tr>
    </w:tbl>
    <w:p w14:paraId="3D17A6FD" w14:textId="77777777" w:rsidR="00D64801" w:rsidRPr="00BA1B7B" w:rsidRDefault="00D64801" w:rsidP="00D64801">
      <w:pPr>
        <w:pStyle w:val="Default"/>
        <w:rPr>
          <w:rFonts w:ascii="Arial" w:hAnsi="Arial" w:cs="Arial"/>
          <w:color w:val="auto"/>
          <w:sz w:val="20"/>
          <w:szCs w:val="20"/>
          <w:u w:val="single"/>
        </w:rPr>
      </w:pPr>
    </w:p>
    <w:p w14:paraId="4F6DFAE5" w14:textId="77777777" w:rsidR="00D64801" w:rsidRPr="00BA1B7B" w:rsidRDefault="00D64801" w:rsidP="00D64801">
      <w:pPr>
        <w:pStyle w:val="Default"/>
        <w:rPr>
          <w:rFonts w:ascii="Arial" w:hAnsi="Arial" w:cs="Arial"/>
          <w:color w:val="auto"/>
          <w:sz w:val="20"/>
          <w:szCs w:val="20"/>
        </w:rPr>
      </w:pPr>
      <w:r w:rsidRPr="00BA1B7B">
        <w:rPr>
          <w:rFonts w:ascii="Arial" w:hAnsi="Arial" w:cs="Arial"/>
          <w:color w:val="auto"/>
          <w:sz w:val="20"/>
          <w:szCs w:val="20"/>
        </w:rPr>
        <w:t>If a woman is diagnosed iron deficient, as previously mentioned screening should be repeated after iron stores are replaced as iron deficiency may result in an abnormal HbA2 in mild forms of beta thalassaemia.</w:t>
      </w:r>
    </w:p>
    <w:p w14:paraId="493F0BDE" w14:textId="77777777" w:rsidR="00D64801" w:rsidRPr="00BA1B7B" w:rsidRDefault="00D64801" w:rsidP="00D64801">
      <w:pPr>
        <w:pStyle w:val="Default"/>
        <w:rPr>
          <w:rFonts w:ascii="Arial" w:hAnsi="Arial" w:cs="Arial"/>
          <w:color w:val="auto"/>
          <w:sz w:val="20"/>
          <w:szCs w:val="20"/>
        </w:rPr>
      </w:pPr>
    </w:p>
    <w:p w14:paraId="12B713FA" w14:textId="77777777" w:rsidR="00D64801" w:rsidRPr="00BA1B7B" w:rsidRDefault="00D64801" w:rsidP="00D64801">
      <w:pPr>
        <w:pStyle w:val="Default"/>
        <w:rPr>
          <w:rFonts w:ascii="Arial" w:hAnsi="Arial" w:cs="Arial"/>
          <w:color w:val="auto"/>
          <w:sz w:val="20"/>
          <w:szCs w:val="20"/>
        </w:rPr>
      </w:pPr>
      <w:r w:rsidRPr="00BA1B7B">
        <w:rPr>
          <w:rFonts w:ascii="Arial" w:hAnsi="Arial" w:cs="Arial"/>
          <w:color w:val="auto"/>
          <w:sz w:val="20"/>
          <w:szCs w:val="20"/>
        </w:rPr>
        <w:t>Follow up</w:t>
      </w:r>
    </w:p>
    <w:p w14:paraId="14860682" w14:textId="77777777" w:rsidR="00D64801" w:rsidRPr="00BA1B7B" w:rsidRDefault="00D64801" w:rsidP="00D64801">
      <w:pPr>
        <w:pStyle w:val="Default"/>
        <w:rPr>
          <w:rFonts w:ascii="Arial" w:hAnsi="Arial" w:cs="Arial"/>
          <w:color w:val="auto"/>
          <w:sz w:val="20"/>
          <w:szCs w:val="20"/>
        </w:rPr>
      </w:pPr>
      <w:r w:rsidRPr="00BA1B7B">
        <w:rPr>
          <w:rFonts w:ascii="Arial" w:hAnsi="Arial" w:cs="Arial"/>
          <w:color w:val="auto"/>
          <w:sz w:val="20"/>
          <w:szCs w:val="20"/>
        </w:rPr>
        <w:t>Couples with positive results require haematological review and referral to Eastern Health</w:t>
      </w:r>
    </w:p>
    <w:p w14:paraId="74B474E7" w14:textId="77777777" w:rsidR="00D64801" w:rsidRPr="00BA1B7B" w:rsidRDefault="00D64801" w:rsidP="00D64801">
      <w:pPr>
        <w:pStyle w:val="Default"/>
        <w:rPr>
          <w:rFonts w:ascii="Arial" w:hAnsi="Arial" w:cs="Arial"/>
          <w:color w:val="auto"/>
          <w:sz w:val="20"/>
          <w:szCs w:val="20"/>
        </w:rPr>
      </w:pPr>
      <w:r w:rsidRPr="00BA1B7B">
        <w:rPr>
          <w:rFonts w:ascii="Arial" w:hAnsi="Arial" w:cs="Arial"/>
          <w:color w:val="auto"/>
          <w:sz w:val="20"/>
          <w:szCs w:val="20"/>
        </w:rPr>
        <w:t xml:space="preserve">Genetics clinical midwife consultant, who will arrange further fetal diagnostic screening via Monash Maternal Fetal Medicine </w:t>
      </w:r>
    </w:p>
    <w:p w14:paraId="49F5AD4A" w14:textId="77777777" w:rsidR="00D64801" w:rsidRPr="00BA1B7B" w:rsidRDefault="00D64801" w:rsidP="00D64801">
      <w:pPr>
        <w:pStyle w:val="Default"/>
        <w:rPr>
          <w:rFonts w:ascii="Arial" w:hAnsi="Arial" w:cs="Arial"/>
          <w:color w:val="auto"/>
          <w:sz w:val="20"/>
          <w:szCs w:val="20"/>
          <w:u w:val="single"/>
        </w:rPr>
      </w:pPr>
    </w:p>
    <w:p w14:paraId="07C7BC7C" w14:textId="4A54A73A" w:rsidR="00D64801" w:rsidRPr="00BA1B7B" w:rsidRDefault="00D64801" w:rsidP="00670C9D">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2" w:name="_Toc120614316"/>
      <w:r w:rsidRPr="00BA1B7B">
        <w:rPr>
          <w:rFonts w:ascii="Arial" w:eastAsia="Times New Roman" w:hAnsi="Arial" w:cs="Arial"/>
          <w:b/>
          <w:bCs/>
          <w:sz w:val="20"/>
          <w:szCs w:val="20"/>
          <w:lang w:eastAsia="en-AU"/>
        </w:rPr>
        <w:lastRenderedPageBreak/>
        <w:t>7.8 Hypertensive disorders of pregnancy (HDP)</w:t>
      </w:r>
      <w:bookmarkEnd w:id="82"/>
    </w:p>
    <w:p w14:paraId="14968FBB" w14:textId="77777777" w:rsidR="00D64801" w:rsidRPr="00BA1B7B" w:rsidRDefault="00D64801" w:rsidP="00D64801">
      <w:pPr>
        <w:pStyle w:val="Default"/>
        <w:rPr>
          <w:rFonts w:ascii="Arial" w:hAnsi="Arial" w:cs="Arial"/>
          <w:color w:val="auto"/>
          <w:sz w:val="20"/>
          <w:szCs w:val="20"/>
          <w:u w:val="single"/>
        </w:rPr>
      </w:pPr>
      <w:r w:rsidRPr="00BA1B7B">
        <w:rPr>
          <w:rFonts w:ascii="Arial" w:hAnsi="Arial" w:cs="Arial"/>
          <w:color w:val="auto"/>
          <w:sz w:val="20"/>
          <w:szCs w:val="20"/>
          <w:u w:val="single"/>
        </w:rPr>
        <w:t>Definitions:</w:t>
      </w:r>
    </w:p>
    <w:p w14:paraId="6F14B2A0"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Normal pregnancy is characterized by a fall in blood pressure, detectable in the first trimester and usually reaching a nadir in the second trimester. Blood pressure rises to preconception levels towards the end of the third trimester.</w:t>
      </w:r>
    </w:p>
    <w:p w14:paraId="277F68A0" w14:textId="77777777" w:rsidR="00E506E7" w:rsidRPr="00BA1B7B" w:rsidRDefault="00E506E7" w:rsidP="00D64801">
      <w:pPr>
        <w:pStyle w:val="Default"/>
        <w:rPr>
          <w:rFonts w:ascii="Arial" w:hAnsi="Arial" w:cs="Arial"/>
          <w:b/>
          <w:color w:val="auto"/>
          <w:sz w:val="20"/>
          <w:szCs w:val="20"/>
          <w:lang w:val="en"/>
        </w:rPr>
      </w:pPr>
    </w:p>
    <w:p w14:paraId="08159F16" w14:textId="0280EFE2" w:rsidR="00D64801" w:rsidRPr="00BA1B7B" w:rsidRDefault="00D64801" w:rsidP="00D64801">
      <w:pPr>
        <w:pStyle w:val="Default"/>
        <w:rPr>
          <w:rFonts w:ascii="Arial" w:hAnsi="Arial" w:cs="Arial"/>
          <w:color w:val="auto"/>
          <w:sz w:val="20"/>
          <w:szCs w:val="20"/>
          <w:lang w:val="en"/>
        </w:rPr>
      </w:pPr>
      <w:r w:rsidRPr="00BA1B7B">
        <w:rPr>
          <w:rFonts w:ascii="Arial" w:hAnsi="Arial" w:cs="Arial"/>
          <w:b/>
          <w:color w:val="auto"/>
          <w:sz w:val="20"/>
          <w:szCs w:val="20"/>
          <w:lang w:val="en"/>
        </w:rPr>
        <w:t>Hypertension in pregnancy</w:t>
      </w:r>
      <w:r w:rsidRPr="00BA1B7B">
        <w:rPr>
          <w:rFonts w:ascii="Arial" w:hAnsi="Arial" w:cs="Arial"/>
          <w:color w:val="auto"/>
          <w:sz w:val="20"/>
          <w:szCs w:val="20"/>
          <w:lang w:val="en"/>
        </w:rPr>
        <w:t>:   BP &gt; 140 mmHg/ 90 mmHg (Korotkoff 5) on at least two occasions over several hours in the clinic, or &gt;135/85 at home.</w:t>
      </w:r>
    </w:p>
    <w:p w14:paraId="4084C551"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Severe hypertension: Blood pressure systolic = ≥160 and/or diastolic = ≥ 110mmHg</w:t>
      </w:r>
    </w:p>
    <w:p w14:paraId="01AB61E4" w14:textId="77777777" w:rsidR="00E506E7" w:rsidRPr="00BA1B7B" w:rsidRDefault="00E506E7" w:rsidP="00D64801">
      <w:pPr>
        <w:pStyle w:val="Default"/>
        <w:rPr>
          <w:rFonts w:ascii="Arial" w:hAnsi="Arial" w:cs="Arial"/>
          <w:b/>
          <w:color w:val="auto"/>
          <w:sz w:val="20"/>
          <w:szCs w:val="20"/>
          <w:lang w:val="en"/>
        </w:rPr>
      </w:pPr>
    </w:p>
    <w:p w14:paraId="4092825A" w14:textId="2DC535BD" w:rsidR="00D64801" w:rsidRPr="00BA1B7B" w:rsidRDefault="00D64801" w:rsidP="00D64801">
      <w:pPr>
        <w:pStyle w:val="Default"/>
        <w:rPr>
          <w:rFonts w:ascii="Arial" w:hAnsi="Arial" w:cs="Arial"/>
          <w:color w:val="auto"/>
          <w:sz w:val="20"/>
          <w:szCs w:val="20"/>
          <w:lang w:val="en"/>
        </w:rPr>
      </w:pPr>
      <w:r w:rsidRPr="00BA1B7B">
        <w:rPr>
          <w:rFonts w:ascii="Arial" w:hAnsi="Arial" w:cs="Arial"/>
          <w:b/>
          <w:color w:val="auto"/>
          <w:sz w:val="20"/>
          <w:szCs w:val="20"/>
          <w:lang w:val="en"/>
        </w:rPr>
        <w:t>Gestational Hypertension</w:t>
      </w:r>
      <w:r w:rsidRPr="00BA1B7B">
        <w:rPr>
          <w:rFonts w:ascii="Arial" w:hAnsi="Arial" w:cs="Arial"/>
          <w:color w:val="auto"/>
          <w:sz w:val="20"/>
          <w:szCs w:val="20"/>
          <w:lang w:val="en"/>
        </w:rPr>
        <w:t xml:space="preserve"> - new onset raised blood pressure after 20 weeks’ gestation, without maternal or fetal signs or symptoms of pre-eclampsia; ongoing monitoring for the development of pre-eclampsia is required.</w:t>
      </w:r>
    </w:p>
    <w:p w14:paraId="4F9F8CF0"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Lifetime risk of chronic HT is increased in women who have had HDP.</w:t>
      </w:r>
    </w:p>
    <w:p w14:paraId="6667464C" w14:textId="77777777" w:rsidR="00E506E7" w:rsidRPr="00BA1B7B" w:rsidRDefault="00E506E7" w:rsidP="00D64801">
      <w:pPr>
        <w:pStyle w:val="Default"/>
        <w:rPr>
          <w:rFonts w:ascii="Arial" w:hAnsi="Arial" w:cs="Arial"/>
          <w:b/>
          <w:color w:val="auto"/>
          <w:sz w:val="20"/>
          <w:szCs w:val="20"/>
          <w:lang w:val="en"/>
        </w:rPr>
      </w:pPr>
    </w:p>
    <w:p w14:paraId="7BD20C8A" w14:textId="0D5DE6AE" w:rsidR="00D64801" w:rsidRPr="00BA1B7B" w:rsidRDefault="00D64801" w:rsidP="00D64801">
      <w:pPr>
        <w:pStyle w:val="Default"/>
        <w:rPr>
          <w:rFonts w:ascii="Arial" w:hAnsi="Arial" w:cs="Arial"/>
          <w:color w:val="auto"/>
          <w:sz w:val="20"/>
          <w:szCs w:val="20"/>
          <w:lang w:val="en"/>
        </w:rPr>
      </w:pPr>
      <w:r w:rsidRPr="00BA1B7B">
        <w:rPr>
          <w:rFonts w:ascii="Arial" w:hAnsi="Arial" w:cs="Arial"/>
          <w:b/>
          <w:color w:val="auto"/>
          <w:sz w:val="20"/>
          <w:szCs w:val="20"/>
          <w:lang w:val="en"/>
        </w:rPr>
        <w:t>Preeclampsia</w:t>
      </w:r>
      <w:r w:rsidRPr="00BA1B7B">
        <w:rPr>
          <w:rFonts w:ascii="Arial" w:hAnsi="Arial" w:cs="Arial"/>
          <w:color w:val="auto"/>
          <w:sz w:val="20"/>
          <w:szCs w:val="20"/>
          <w:lang w:val="en"/>
        </w:rPr>
        <w:t xml:space="preserve">: A multi-system disorder arising after 20 weeks gestation. The usual clinical manifestations are hypertension and one/more organ systems involvement, proteinuria is not mandatory in order to confirm the diagnosis.  PET may be accompanied by haematological, neurological, hepatic or renal impairment.  ISSHP 2018 guidelines recommend against grading PET as severe or mild because it is a rapidly evolving and unpredictable condition, moreover some women </w:t>
      </w:r>
    </w:p>
    <w:p w14:paraId="44380BD5"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develop end organ dysfunction at relatively mild levels of HT.  Maternal and fetal parameters in pre-eclampsia do not always follow each hence both mother and baby need to be monitored individually.</w:t>
      </w:r>
    </w:p>
    <w:p w14:paraId="4321BB8A" w14:textId="77777777" w:rsidR="00E506E7" w:rsidRPr="00BA1B7B" w:rsidRDefault="00E506E7" w:rsidP="00D64801">
      <w:pPr>
        <w:pStyle w:val="Default"/>
        <w:rPr>
          <w:rFonts w:ascii="Arial" w:hAnsi="Arial" w:cs="Arial"/>
          <w:b/>
          <w:color w:val="auto"/>
          <w:sz w:val="20"/>
          <w:szCs w:val="20"/>
          <w:lang w:val="en"/>
        </w:rPr>
      </w:pPr>
    </w:p>
    <w:p w14:paraId="352AD467" w14:textId="242F3C1C" w:rsidR="00D64801" w:rsidRPr="00BA1B7B" w:rsidRDefault="00D64801" w:rsidP="00D64801">
      <w:pPr>
        <w:pStyle w:val="Default"/>
        <w:rPr>
          <w:rFonts w:ascii="Arial" w:hAnsi="Arial" w:cs="Arial"/>
          <w:color w:val="auto"/>
          <w:sz w:val="20"/>
          <w:szCs w:val="20"/>
          <w:lang w:val="en"/>
        </w:rPr>
      </w:pPr>
      <w:r w:rsidRPr="00BA1B7B">
        <w:rPr>
          <w:rFonts w:ascii="Arial" w:hAnsi="Arial" w:cs="Arial"/>
          <w:b/>
          <w:color w:val="auto"/>
          <w:sz w:val="20"/>
          <w:szCs w:val="20"/>
          <w:lang w:val="en"/>
        </w:rPr>
        <w:t>Chronic Hypertension – (Essential or Secondary)</w:t>
      </w:r>
    </w:p>
    <w:p w14:paraId="47234E15"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This is pre-existing hypertension not caused by the pregnancy but commonly more severe after 22 weeks’ gestation.</w:t>
      </w:r>
    </w:p>
    <w:p w14:paraId="30774D3A"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 xml:space="preserve">Systolic &gt; 140mmHg and/or diastolic &gt; 90mmHg in clinic; or &gt;135/85 average HBP or &gt;130/80 daytime ABPM confirmed before 20 weeks gestation. </w:t>
      </w:r>
    </w:p>
    <w:p w14:paraId="7FFF3C4B" w14:textId="77777777" w:rsidR="00E506E7" w:rsidRPr="00BA1B7B" w:rsidRDefault="00E506E7" w:rsidP="00D64801">
      <w:pPr>
        <w:pStyle w:val="Default"/>
        <w:rPr>
          <w:rFonts w:ascii="Arial" w:hAnsi="Arial" w:cs="Arial"/>
          <w:b/>
          <w:color w:val="auto"/>
          <w:sz w:val="20"/>
          <w:szCs w:val="20"/>
          <w:lang w:val="en"/>
        </w:rPr>
      </w:pPr>
    </w:p>
    <w:p w14:paraId="46D1B9F4" w14:textId="77777777" w:rsidR="00E506E7" w:rsidRPr="00BA1B7B" w:rsidRDefault="00D64801" w:rsidP="00D64801">
      <w:pPr>
        <w:pStyle w:val="Default"/>
        <w:rPr>
          <w:rFonts w:ascii="Arial" w:hAnsi="Arial" w:cs="Arial"/>
          <w:color w:val="auto"/>
          <w:sz w:val="20"/>
          <w:szCs w:val="20"/>
          <w:lang w:val="en"/>
        </w:rPr>
      </w:pPr>
      <w:r w:rsidRPr="00BA1B7B">
        <w:rPr>
          <w:rFonts w:ascii="Arial" w:hAnsi="Arial" w:cs="Arial"/>
          <w:b/>
          <w:color w:val="auto"/>
          <w:sz w:val="20"/>
          <w:szCs w:val="20"/>
          <w:lang w:val="en"/>
        </w:rPr>
        <w:t>White Coat Hypertension:</w:t>
      </w:r>
      <w:r w:rsidRPr="00BA1B7B">
        <w:rPr>
          <w:rFonts w:ascii="Arial" w:hAnsi="Arial" w:cs="Arial"/>
          <w:color w:val="auto"/>
          <w:sz w:val="20"/>
          <w:szCs w:val="20"/>
          <w:lang w:val="en"/>
        </w:rPr>
        <w:t xml:space="preserve"> hypertension detected in a clinical setting with normal blood pressure assessed by 24 hour ambulatory blood pressure monitoring or home blood pressure monitoring (HBPM) using an appropriately validated device.  It is associated with increased risk of pre-eclampsia and Gestational HT so HBPM should be instituted for the remainder of the pregnancy with ongoing </w:t>
      </w:r>
    </w:p>
    <w:p w14:paraId="6BDA7C7D" w14:textId="5298B12C"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surveillance for pre-eclampsia.</w:t>
      </w:r>
    </w:p>
    <w:p w14:paraId="32614EFA" w14:textId="77777777" w:rsidR="00E506E7" w:rsidRPr="00BA1B7B" w:rsidRDefault="00E506E7" w:rsidP="00D64801">
      <w:pPr>
        <w:pStyle w:val="Default"/>
        <w:rPr>
          <w:rFonts w:ascii="Arial" w:hAnsi="Arial" w:cs="Arial"/>
          <w:b/>
          <w:color w:val="auto"/>
          <w:sz w:val="20"/>
          <w:szCs w:val="20"/>
          <w:lang w:val="en"/>
        </w:rPr>
      </w:pPr>
    </w:p>
    <w:p w14:paraId="37E6C01F" w14:textId="6AE3708A" w:rsidR="00D64801" w:rsidRPr="00BA1B7B" w:rsidRDefault="00D64801" w:rsidP="00D64801">
      <w:pPr>
        <w:pStyle w:val="Default"/>
        <w:rPr>
          <w:rFonts w:ascii="Arial" w:hAnsi="Arial" w:cs="Arial"/>
          <w:color w:val="auto"/>
          <w:sz w:val="20"/>
          <w:szCs w:val="20"/>
          <w:lang w:val="en"/>
        </w:rPr>
      </w:pPr>
      <w:r w:rsidRPr="00BA1B7B">
        <w:rPr>
          <w:rFonts w:ascii="Arial" w:hAnsi="Arial" w:cs="Arial"/>
          <w:b/>
          <w:color w:val="auto"/>
          <w:sz w:val="20"/>
          <w:szCs w:val="20"/>
          <w:lang w:val="en"/>
        </w:rPr>
        <w:t>Masked Hypertension:</w:t>
      </w:r>
      <w:r w:rsidRPr="00BA1B7B">
        <w:rPr>
          <w:rFonts w:ascii="Arial" w:hAnsi="Arial" w:cs="Arial"/>
          <w:color w:val="auto"/>
          <w:sz w:val="20"/>
          <w:szCs w:val="20"/>
          <w:lang w:val="en"/>
        </w:rPr>
        <w:t xml:space="preserve"> detected on home monitoring or ABPM when clinic BP measurements are normal.</w:t>
      </w:r>
    </w:p>
    <w:p w14:paraId="2A6530B7" w14:textId="77777777" w:rsidR="00D64801" w:rsidRPr="00BA1B7B" w:rsidRDefault="00D64801" w:rsidP="00D64801">
      <w:pPr>
        <w:pStyle w:val="Default"/>
        <w:rPr>
          <w:rFonts w:ascii="Arial" w:hAnsi="Arial" w:cs="Arial"/>
          <w:color w:val="auto"/>
          <w:sz w:val="20"/>
          <w:szCs w:val="20"/>
          <w:u w:val="single"/>
        </w:rPr>
      </w:pPr>
    </w:p>
    <w:p w14:paraId="070AB2F4" w14:textId="77777777" w:rsidR="00D64801" w:rsidRPr="00BA1B7B" w:rsidRDefault="00D64801" w:rsidP="00D64801">
      <w:pPr>
        <w:pStyle w:val="Default"/>
        <w:rPr>
          <w:rFonts w:ascii="Arial" w:hAnsi="Arial" w:cs="Arial"/>
          <w:b/>
          <w:color w:val="auto"/>
          <w:sz w:val="20"/>
          <w:szCs w:val="20"/>
          <w:u w:val="single"/>
        </w:rPr>
      </w:pPr>
      <w:r w:rsidRPr="00BA1B7B">
        <w:rPr>
          <w:rFonts w:ascii="Arial" w:hAnsi="Arial" w:cs="Arial"/>
          <w:b/>
          <w:color w:val="auto"/>
          <w:sz w:val="20"/>
          <w:szCs w:val="20"/>
          <w:u w:val="single"/>
        </w:rPr>
        <w:t>Treatment of Hypertension</w:t>
      </w:r>
    </w:p>
    <w:p w14:paraId="407FDF48" w14:textId="77777777" w:rsidR="00D64801" w:rsidRPr="00BA1B7B" w:rsidRDefault="00D64801" w:rsidP="00D64801">
      <w:pPr>
        <w:pStyle w:val="Default"/>
        <w:rPr>
          <w:rFonts w:ascii="Arial" w:hAnsi="Arial" w:cs="Arial"/>
          <w:color w:val="auto"/>
          <w:sz w:val="20"/>
          <w:szCs w:val="20"/>
          <w:u w:val="single"/>
        </w:rPr>
      </w:pPr>
    </w:p>
    <w:p w14:paraId="04A5A02E"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 xml:space="preserve"> Blood pressure (BP) ≥ 160/110mmHg in pregnancy increases the risk of stroke and is associated with adverse fetal and maternal outcomes. It requires urgent treatment and close monitoring.</w:t>
      </w:r>
    </w:p>
    <w:p w14:paraId="60FEC213" w14:textId="77777777" w:rsidR="00D64801" w:rsidRPr="00BA1B7B" w:rsidRDefault="00D64801" w:rsidP="00D64801">
      <w:pPr>
        <w:pStyle w:val="Default"/>
        <w:rPr>
          <w:rFonts w:ascii="Arial" w:hAnsi="Arial" w:cs="Arial"/>
          <w:color w:val="auto"/>
          <w:sz w:val="20"/>
          <w:szCs w:val="20"/>
          <w:lang w:val="en"/>
        </w:rPr>
      </w:pPr>
    </w:p>
    <w:p w14:paraId="28684A0A"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Antihypertensive drug therapy for HT below this threshold was considered optional until the publications of the CHIPS trial which recruited women with chronic and gestational HT (many of whom developed pre-eclampsia and remained in the trial) and documented less severe HT and less maternal complications without fetal harm in women treated to a target of DBP &lt; 85.  ISSHP 2018 guidelines recommended instituting or increasing treatment for BP consistently &gt; 140/90 (or 135/85 on home readings) and aiming for 110-140/80-85.  Treatment should be reduced or ceased if DBP is consistently less than 80mmHg</w:t>
      </w:r>
    </w:p>
    <w:p w14:paraId="43ED3421"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lastRenderedPageBreak/>
        <w:t>In women with hypertension in pregnancy, control of blood pressure is essential to reduce the risk of maternal complications and prolong the pregnancy for fetal benefit, where possible.  Where BP is persistently &gt;150/100, in-patient management is recommended</w:t>
      </w:r>
    </w:p>
    <w:p w14:paraId="7DF5AF4D" w14:textId="410EAE99"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 xml:space="preserve">These targets still </w:t>
      </w:r>
      <w:r w:rsidR="007A209E" w:rsidRPr="00BA1B7B">
        <w:rPr>
          <w:rFonts w:ascii="Arial" w:hAnsi="Arial" w:cs="Arial"/>
          <w:color w:val="auto"/>
          <w:sz w:val="20"/>
          <w:szCs w:val="20"/>
          <w:lang w:val="en"/>
        </w:rPr>
        <w:t>apply in the first 6 weeks post-</w:t>
      </w:r>
      <w:r w:rsidRPr="00BA1B7B">
        <w:rPr>
          <w:rFonts w:ascii="Arial" w:hAnsi="Arial" w:cs="Arial"/>
          <w:color w:val="auto"/>
          <w:sz w:val="20"/>
          <w:szCs w:val="20"/>
          <w:lang w:val="en"/>
        </w:rPr>
        <w:t>partum, of which especially the first 2 weeks are a danger period for cerebral complications of poorly controlled HT because BP control is often difficult at this time and may require in-patient management (especially if &gt;150/100)</w:t>
      </w:r>
    </w:p>
    <w:p w14:paraId="55530A97" w14:textId="77777777" w:rsidR="00D64801" w:rsidRPr="00BA1B7B" w:rsidRDefault="00D64801" w:rsidP="00D64801">
      <w:pPr>
        <w:pStyle w:val="Default"/>
        <w:rPr>
          <w:rFonts w:ascii="Arial" w:hAnsi="Arial" w:cs="Arial"/>
          <w:color w:val="auto"/>
          <w:sz w:val="20"/>
          <w:szCs w:val="20"/>
          <w:lang w:val="en"/>
        </w:rPr>
      </w:pPr>
    </w:p>
    <w:p w14:paraId="6DCA392A" w14:textId="77777777" w:rsidR="00D64801" w:rsidRPr="00BA1B7B" w:rsidRDefault="00D64801" w:rsidP="00D64801">
      <w:pPr>
        <w:pStyle w:val="Default"/>
        <w:rPr>
          <w:rFonts w:ascii="Arial" w:hAnsi="Arial" w:cs="Arial"/>
          <w:color w:val="auto"/>
          <w:sz w:val="20"/>
          <w:szCs w:val="20"/>
          <w:u w:val="single"/>
          <w:lang w:val="en"/>
        </w:rPr>
      </w:pPr>
      <w:r w:rsidRPr="00BA1B7B">
        <w:rPr>
          <w:rFonts w:ascii="Arial" w:hAnsi="Arial" w:cs="Arial"/>
          <w:color w:val="auto"/>
          <w:sz w:val="20"/>
          <w:szCs w:val="20"/>
          <w:u w:val="single"/>
          <w:lang w:val="en"/>
        </w:rPr>
        <w:t>Instructions to women for HBPM:</w:t>
      </w:r>
    </w:p>
    <w:p w14:paraId="01FFF932" w14:textId="77777777" w:rsidR="00D64801" w:rsidRPr="00BA1B7B" w:rsidRDefault="00D64801" w:rsidP="00D64801">
      <w:pPr>
        <w:pStyle w:val="Default"/>
        <w:rPr>
          <w:rFonts w:ascii="Arial" w:hAnsi="Arial" w:cs="Arial"/>
          <w:color w:val="auto"/>
          <w:sz w:val="20"/>
          <w:szCs w:val="20"/>
          <w:lang w:val="en-US"/>
        </w:rPr>
      </w:pPr>
    </w:p>
    <w:p w14:paraId="5407AD3C" w14:textId="77777777" w:rsidR="00D64801" w:rsidRPr="00BA1B7B" w:rsidRDefault="00D64801" w:rsidP="00D64801">
      <w:pPr>
        <w:pStyle w:val="Default"/>
        <w:rPr>
          <w:rFonts w:ascii="Arial" w:hAnsi="Arial" w:cs="Arial"/>
          <w:color w:val="auto"/>
          <w:sz w:val="20"/>
          <w:szCs w:val="20"/>
          <w:lang w:val="en-US"/>
        </w:rPr>
      </w:pPr>
      <w:r w:rsidRPr="00BA1B7B">
        <w:rPr>
          <w:rFonts w:ascii="Arial" w:hAnsi="Arial" w:cs="Arial"/>
          <w:color w:val="auto"/>
          <w:sz w:val="20"/>
          <w:szCs w:val="20"/>
          <w:lang w:val="en-US"/>
        </w:rPr>
        <w:t>Take your BP</w:t>
      </w:r>
    </w:p>
    <w:p w14:paraId="458DA7DF" w14:textId="77777777" w:rsidR="00D64801" w:rsidRPr="00BA1B7B" w:rsidRDefault="00D64801" w:rsidP="004A22FD">
      <w:pPr>
        <w:pStyle w:val="Default"/>
        <w:numPr>
          <w:ilvl w:val="0"/>
          <w:numId w:val="47"/>
        </w:numPr>
        <w:rPr>
          <w:rFonts w:ascii="Arial" w:hAnsi="Arial" w:cs="Arial"/>
          <w:color w:val="auto"/>
          <w:sz w:val="20"/>
          <w:szCs w:val="20"/>
          <w:lang w:val="en-US"/>
        </w:rPr>
      </w:pPr>
      <w:r w:rsidRPr="00BA1B7B">
        <w:rPr>
          <w:rFonts w:ascii="Arial" w:hAnsi="Arial" w:cs="Arial"/>
          <w:color w:val="auto"/>
          <w:sz w:val="20"/>
          <w:szCs w:val="20"/>
          <w:lang w:val="en-US"/>
        </w:rPr>
        <w:t>Prior to taking your medications, exercising, eating or having caffeine</w:t>
      </w:r>
    </w:p>
    <w:p w14:paraId="666DF505" w14:textId="77777777" w:rsidR="00D64801" w:rsidRPr="00BA1B7B" w:rsidRDefault="00D64801" w:rsidP="004A22FD">
      <w:pPr>
        <w:pStyle w:val="Default"/>
        <w:numPr>
          <w:ilvl w:val="0"/>
          <w:numId w:val="47"/>
        </w:numPr>
        <w:rPr>
          <w:rFonts w:ascii="Arial" w:hAnsi="Arial" w:cs="Arial"/>
          <w:color w:val="auto"/>
          <w:sz w:val="20"/>
          <w:szCs w:val="20"/>
          <w:lang w:val="en-US"/>
        </w:rPr>
      </w:pPr>
      <w:r w:rsidRPr="00BA1B7B">
        <w:rPr>
          <w:rFonts w:ascii="Arial" w:hAnsi="Arial" w:cs="Arial"/>
          <w:color w:val="auto"/>
          <w:sz w:val="20"/>
          <w:szCs w:val="20"/>
          <w:lang w:val="en-US"/>
        </w:rPr>
        <w:t>While sitting down, not talking, legs uncrossed, arm resting at heart level</w:t>
      </w:r>
    </w:p>
    <w:p w14:paraId="235DA6F2" w14:textId="77777777" w:rsidR="00D64801" w:rsidRPr="00BA1B7B" w:rsidRDefault="00D64801" w:rsidP="004A22FD">
      <w:pPr>
        <w:pStyle w:val="Default"/>
        <w:numPr>
          <w:ilvl w:val="0"/>
          <w:numId w:val="47"/>
        </w:numPr>
        <w:rPr>
          <w:rFonts w:ascii="Arial" w:hAnsi="Arial" w:cs="Arial"/>
          <w:color w:val="auto"/>
          <w:sz w:val="20"/>
          <w:szCs w:val="20"/>
          <w:lang w:val="en-US"/>
        </w:rPr>
      </w:pPr>
      <w:r w:rsidRPr="00BA1B7B">
        <w:rPr>
          <w:rFonts w:ascii="Arial" w:hAnsi="Arial" w:cs="Arial"/>
          <w:color w:val="auto"/>
          <w:sz w:val="20"/>
          <w:szCs w:val="20"/>
          <w:lang w:val="en-US"/>
        </w:rPr>
        <w:t>Use an upper arm monitor with appropriate cuff size (please discuss with your doctor/midwife – bring your machine and cuff to your appointment if unsure)</w:t>
      </w:r>
    </w:p>
    <w:p w14:paraId="5ADA5B7E" w14:textId="77777777" w:rsidR="00D64801" w:rsidRPr="00BA1B7B" w:rsidRDefault="00D64801" w:rsidP="004A22FD">
      <w:pPr>
        <w:pStyle w:val="Default"/>
        <w:numPr>
          <w:ilvl w:val="0"/>
          <w:numId w:val="47"/>
        </w:numPr>
        <w:rPr>
          <w:rFonts w:ascii="Arial" w:hAnsi="Arial" w:cs="Arial"/>
          <w:color w:val="auto"/>
          <w:sz w:val="20"/>
          <w:szCs w:val="20"/>
          <w:lang w:val="en-US"/>
        </w:rPr>
      </w:pPr>
      <w:r w:rsidRPr="00BA1B7B">
        <w:rPr>
          <w:rFonts w:ascii="Arial" w:hAnsi="Arial" w:cs="Arial"/>
          <w:color w:val="auto"/>
          <w:sz w:val="20"/>
          <w:szCs w:val="20"/>
          <w:lang w:val="en-US"/>
        </w:rPr>
        <w:t>Do not routinely take BP when stressed, uncomfortable or in pain</w:t>
      </w:r>
    </w:p>
    <w:p w14:paraId="05F4D8DA" w14:textId="77777777" w:rsidR="00D64801" w:rsidRPr="00BA1B7B" w:rsidRDefault="00D64801" w:rsidP="00D64801">
      <w:pPr>
        <w:pStyle w:val="Default"/>
        <w:rPr>
          <w:rFonts w:ascii="Arial" w:hAnsi="Arial" w:cs="Arial"/>
          <w:i/>
          <w:color w:val="auto"/>
          <w:sz w:val="20"/>
          <w:szCs w:val="20"/>
          <w:lang w:val="en-US"/>
        </w:rPr>
      </w:pPr>
    </w:p>
    <w:p w14:paraId="1D2FE223" w14:textId="77777777" w:rsidR="00D64801" w:rsidRPr="00BA1B7B" w:rsidRDefault="00D64801" w:rsidP="00D64801">
      <w:pPr>
        <w:pStyle w:val="Default"/>
        <w:jc w:val="center"/>
        <w:rPr>
          <w:rFonts w:ascii="Arial" w:hAnsi="Arial" w:cs="Arial"/>
          <w:i/>
          <w:color w:val="auto"/>
          <w:sz w:val="20"/>
          <w:szCs w:val="20"/>
          <w:lang w:val="en-US"/>
        </w:rPr>
      </w:pPr>
      <w:r w:rsidRPr="00BA1B7B">
        <w:rPr>
          <w:rFonts w:ascii="Arial" w:hAnsi="Arial" w:cs="Arial"/>
          <w:b/>
          <w:i/>
          <w:color w:val="auto"/>
          <w:sz w:val="20"/>
          <w:szCs w:val="20"/>
          <w:lang w:val="en-US"/>
        </w:rPr>
        <w:t>Pre-eclampsia symptoms, reduced fetal movements, or BP over 150/100 which has not settled upon a 15-30 min rest should be urgently reported to Birth Suite at chosen hospital.</w:t>
      </w:r>
    </w:p>
    <w:p w14:paraId="5103225E" w14:textId="77777777" w:rsidR="00D64801" w:rsidRPr="00BA1B7B" w:rsidRDefault="00D64801" w:rsidP="00D64801">
      <w:pPr>
        <w:pStyle w:val="Default"/>
        <w:rPr>
          <w:rFonts w:ascii="Arial" w:hAnsi="Arial" w:cs="Arial"/>
          <w:color w:val="auto"/>
          <w:sz w:val="20"/>
          <w:szCs w:val="20"/>
          <w:lang w:val="en-US"/>
        </w:rPr>
      </w:pPr>
    </w:p>
    <w:p w14:paraId="004A5F32" w14:textId="77777777" w:rsidR="00D64801" w:rsidRPr="00BA1B7B" w:rsidRDefault="00D64801" w:rsidP="00D64801">
      <w:pPr>
        <w:pStyle w:val="Default"/>
        <w:rPr>
          <w:rFonts w:ascii="Arial" w:hAnsi="Arial" w:cs="Arial"/>
          <w:color w:val="auto"/>
          <w:sz w:val="20"/>
          <w:szCs w:val="20"/>
          <w:lang w:val="en-US"/>
        </w:rPr>
      </w:pPr>
      <w:r w:rsidRPr="00BA1B7B">
        <w:rPr>
          <w:rFonts w:ascii="Arial" w:hAnsi="Arial" w:cs="Arial"/>
          <w:color w:val="auto"/>
          <w:sz w:val="20"/>
          <w:szCs w:val="20"/>
          <w:lang w:val="en-US"/>
        </w:rPr>
        <w:t>If your BP is persistently less than 120/80 or you feel lightheaded after taking your medications, please reduce your medications as follows (see antihypertensive medications below) and report the change to your treating doctor/midwife.</w:t>
      </w:r>
    </w:p>
    <w:p w14:paraId="4032BBFC" w14:textId="77777777" w:rsidR="00D64801" w:rsidRPr="00BA1B7B" w:rsidRDefault="00D64801" w:rsidP="00D64801">
      <w:pPr>
        <w:pStyle w:val="Default"/>
        <w:rPr>
          <w:rFonts w:ascii="Arial" w:hAnsi="Arial" w:cs="Arial"/>
          <w:color w:val="auto"/>
          <w:sz w:val="20"/>
          <w:szCs w:val="20"/>
          <w:lang w:val="en-US"/>
        </w:rPr>
      </w:pPr>
    </w:p>
    <w:p w14:paraId="75627C93"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If your BP is persistently 135-150/85-100, please report this to your treating doctor/midwife.</w:t>
      </w:r>
    </w:p>
    <w:p w14:paraId="5E520D4F" w14:textId="77777777" w:rsidR="00D64801" w:rsidRPr="00BA1B7B" w:rsidRDefault="00D64801" w:rsidP="00D64801">
      <w:pPr>
        <w:pStyle w:val="Default"/>
        <w:rPr>
          <w:rFonts w:ascii="Arial" w:hAnsi="Arial" w:cs="Arial"/>
          <w:color w:val="auto"/>
          <w:sz w:val="20"/>
          <w:szCs w:val="20"/>
          <w:lang w:val="en"/>
        </w:rPr>
      </w:pPr>
    </w:p>
    <w:p w14:paraId="0CD57DEC"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At EH, patients email the Obstetric Medicine clinic with their home readings.  Patients undertaking HBPM should be given contact details for reporting concerns and BP readings outside parameters.</w:t>
      </w:r>
    </w:p>
    <w:p w14:paraId="754C81A0" w14:textId="77777777" w:rsidR="00D64801" w:rsidRPr="00BA1B7B" w:rsidRDefault="00D64801" w:rsidP="00D64801">
      <w:pPr>
        <w:pStyle w:val="Default"/>
        <w:rPr>
          <w:rFonts w:ascii="Arial" w:hAnsi="Arial" w:cs="Arial"/>
          <w:color w:val="auto"/>
          <w:sz w:val="20"/>
          <w:szCs w:val="20"/>
          <w:lang w:val="en"/>
        </w:rPr>
      </w:pPr>
    </w:p>
    <w:p w14:paraId="1315CE7D" w14:textId="279CAFFB" w:rsidR="00D64801" w:rsidRDefault="00D64801" w:rsidP="00D64801">
      <w:pPr>
        <w:pStyle w:val="Default"/>
        <w:rPr>
          <w:rFonts w:ascii="Arial" w:hAnsi="Arial" w:cs="Arial"/>
          <w:color w:val="auto"/>
          <w:sz w:val="20"/>
          <w:szCs w:val="20"/>
          <w:u w:val="single"/>
          <w:lang w:val="en"/>
        </w:rPr>
      </w:pPr>
    </w:p>
    <w:p w14:paraId="4117EA41" w14:textId="77777777" w:rsidR="0057448F" w:rsidRPr="00BA1B7B" w:rsidRDefault="0057448F" w:rsidP="00D64801">
      <w:pPr>
        <w:pStyle w:val="Default"/>
        <w:rPr>
          <w:rFonts w:ascii="Arial" w:hAnsi="Arial" w:cs="Arial"/>
          <w:color w:val="auto"/>
          <w:sz w:val="20"/>
          <w:szCs w:val="20"/>
          <w:u w:val="single"/>
          <w:lang w:val="en"/>
        </w:rPr>
      </w:pPr>
    </w:p>
    <w:p w14:paraId="469F5286"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u w:val="single"/>
          <w:lang w:val="en"/>
        </w:rPr>
        <w:t>Antihypertensive medications:</w:t>
      </w:r>
    </w:p>
    <w:p w14:paraId="692DB299" w14:textId="77777777" w:rsidR="00D64801" w:rsidRPr="00BA1B7B" w:rsidRDefault="00D64801" w:rsidP="00D64801">
      <w:pPr>
        <w:pStyle w:val="Default"/>
        <w:rPr>
          <w:rFonts w:ascii="Arial" w:hAnsi="Arial" w:cs="Arial"/>
          <w:color w:val="auto"/>
          <w:sz w:val="20"/>
          <w:szCs w:val="20"/>
          <w:lang w:val="en"/>
        </w:rPr>
      </w:pPr>
    </w:p>
    <w:p w14:paraId="19298235"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The most appropriate treatment for hypertension in first trimester is methyldopa or labetalol.  Other medications should be ceased prior to 6/40.  BP may require less treatment towards 22/40 and down-titration may be required.  Women should be asked to home monitor with an upper arm appropriately sized cuff and monitor validated for pregnancy (HBPM).</w:t>
      </w:r>
    </w:p>
    <w:p w14:paraId="6874F0EF" w14:textId="77777777" w:rsidR="00D64801" w:rsidRPr="00BA1B7B" w:rsidRDefault="00D64801" w:rsidP="00D64801">
      <w:pPr>
        <w:pStyle w:val="Default"/>
        <w:rPr>
          <w:rFonts w:ascii="Arial" w:hAnsi="Arial" w:cs="Arial"/>
          <w:color w:val="auto"/>
          <w:sz w:val="20"/>
          <w:szCs w:val="20"/>
          <w:lang w:val="en"/>
        </w:rPr>
      </w:pPr>
    </w:p>
    <w:p w14:paraId="694BFE2D"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If treated with methyldopa monotherapy, once the total divided daily dose is 1g, labetalol should be introduced.  If needed, methyldopa can later be increased up to 1.5-2.0g/d in divided doses.  Later, labetalol can be maximized to 400mg QID, or up to 600mg QID absolute maximum.</w:t>
      </w:r>
    </w:p>
    <w:p w14:paraId="23630022" w14:textId="77777777" w:rsidR="00D64801" w:rsidRPr="00BA1B7B" w:rsidRDefault="00D64801" w:rsidP="00D64801">
      <w:pPr>
        <w:pStyle w:val="Default"/>
        <w:rPr>
          <w:rFonts w:ascii="Arial" w:hAnsi="Arial" w:cs="Arial"/>
          <w:color w:val="auto"/>
          <w:sz w:val="20"/>
          <w:szCs w:val="20"/>
          <w:lang w:val="en"/>
        </w:rPr>
      </w:pPr>
    </w:p>
    <w:p w14:paraId="2808CE87"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If a third agent is being added (usually nifedipine SR dosed bd) to maximal doses of labetalol and methyldopa, delivery will often be planned.</w:t>
      </w:r>
    </w:p>
    <w:p w14:paraId="74E7D107" w14:textId="77777777" w:rsidR="00D64801" w:rsidRPr="00BA1B7B" w:rsidRDefault="00D64801" w:rsidP="00D64801">
      <w:pPr>
        <w:pStyle w:val="Default"/>
        <w:rPr>
          <w:rFonts w:ascii="Arial" w:hAnsi="Arial" w:cs="Arial"/>
          <w:color w:val="auto"/>
          <w:sz w:val="20"/>
          <w:szCs w:val="20"/>
          <w:lang w:val="en"/>
        </w:rPr>
      </w:pPr>
    </w:p>
    <w:p w14:paraId="7C4AFE63"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Post- partum, the choice of first line agents includes labetalol (or metoprolol) dosed at 200-400mg (25-50mg) bd-qid, nifedipine SR dosed bd, enalapril 5-20mg dosed bd (used with care in breastfeeding mothers of premature infants due to ongoing renal development).  Methyldopa should be ceased post-partum due to propensity to side effects including depression.</w:t>
      </w:r>
    </w:p>
    <w:p w14:paraId="640E1E1D" w14:textId="77777777" w:rsidR="00D64801" w:rsidRPr="00BA1B7B" w:rsidRDefault="00D64801" w:rsidP="00D64801">
      <w:pPr>
        <w:pStyle w:val="Default"/>
        <w:rPr>
          <w:rFonts w:ascii="Arial" w:hAnsi="Arial" w:cs="Arial"/>
          <w:color w:val="auto"/>
          <w:sz w:val="20"/>
          <w:szCs w:val="20"/>
          <w:lang w:val="en"/>
        </w:rPr>
      </w:pPr>
    </w:p>
    <w:p w14:paraId="0CA62C02"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 xml:space="preserve">Women requiring medication for hypertension in pregnancy are </w:t>
      </w:r>
      <w:r w:rsidRPr="00BA1B7B">
        <w:rPr>
          <w:rFonts w:ascii="Arial" w:hAnsi="Arial" w:cs="Arial"/>
          <w:b/>
          <w:color w:val="auto"/>
          <w:sz w:val="20"/>
          <w:szCs w:val="20"/>
          <w:lang w:val="en"/>
        </w:rPr>
        <w:t>NOT</w:t>
      </w:r>
      <w:r w:rsidRPr="00BA1B7B">
        <w:rPr>
          <w:rFonts w:ascii="Arial" w:hAnsi="Arial" w:cs="Arial"/>
          <w:color w:val="auto"/>
          <w:sz w:val="20"/>
          <w:szCs w:val="20"/>
          <w:lang w:val="en"/>
        </w:rPr>
        <w:t xml:space="preserve"> suitable for GPSC and should be referred to obstetric medicine and obstetric care at Eastern Health RED pathway</w:t>
      </w:r>
    </w:p>
    <w:p w14:paraId="5DF30AA9" w14:textId="77777777" w:rsidR="00D64801" w:rsidRPr="00BA1B7B" w:rsidRDefault="00D64801" w:rsidP="00D64801">
      <w:pPr>
        <w:pStyle w:val="Default"/>
        <w:rPr>
          <w:rFonts w:ascii="Arial" w:hAnsi="Arial" w:cs="Arial"/>
          <w:color w:val="auto"/>
          <w:sz w:val="20"/>
          <w:szCs w:val="20"/>
          <w:lang w:val="en"/>
        </w:rPr>
      </w:pPr>
    </w:p>
    <w:p w14:paraId="4FECEF9A" w14:textId="77777777" w:rsidR="00D64801" w:rsidRPr="00BA1B7B" w:rsidRDefault="00D64801" w:rsidP="00D64801">
      <w:pPr>
        <w:pStyle w:val="Default"/>
        <w:rPr>
          <w:rFonts w:ascii="Arial" w:hAnsi="Arial" w:cs="Arial"/>
          <w:color w:val="auto"/>
          <w:sz w:val="20"/>
          <w:szCs w:val="20"/>
          <w:u w:val="single"/>
          <w:lang w:val="en"/>
        </w:rPr>
      </w:pPr>
      <w:r w:rsidRPr="00BA1B7B">
        <w:rPr>
          <w:rFonts w:ascii="Arial" w:hAnsi="Arial" w:cs="Arial"/>
          <w:color w:val="auto"/>
          <w:sz w:val="20"/>
          <w:szCs w:val="20"/>
          <w:u w:val="single"/>
          <w:lang w:val="en"/>
        </w:rPr>
        <w:lastRenderedPageBreak/>
        <w:t>Early Onset-Pre-Eclampsia screening: (EO-PE)</w:t>
      </w:r>
    </w:p>
    <w:p w14:paraId="4FB0CA99" w14:textId="77777777" w:rsidR="00D64801" w:rsidRPr="00BA1B7B" w:rsidRDefault="00D64801" w:rsidP="00D64801">
      <w:pPr>
        <w:pStyle w:val="Default"/>
        <w:rPr>
          <w:rFonts w:ascii="Arial" w:hAnsi="Arial" w:cs="Arial"/>
          <w:color w:val="auto"/>
          <w:sz w:val="20"/>
          <w:szCs w:val="20"/>
          <w:u w:val="single"/>
          <w:lang w:val="en"/>
        </w:rPr>
      </w:pPr>
    </w:p>
    <w:p w14:paraId="4C593FC0"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VCGS and Monash ultrasound for women currently offer early onset pre-eclampsia screening with a recommendation for aspirin (150mg nocte) prophylaxis in high risk women.  This is based on maternal risk factors, BP, PAPP-A and umbilical artery dopplers.  For women with known hypertension, the screen will be positive regardless of the other results therefore, EO-PE screening is not recommended.</w:t>
      </w:r>
    </w:p>
    <w:p w14:paraId="16EF7F5F" w14:textId="77777777" w:rsidR="00D64801" w:rsidRPr="00BA1B7B" w:rsidRDefault="00D64801" w:rsidP="00D64801">
      <w:pPr>
        <w:pStyle w:val="Default"/>
        <w:rPr>
          <w:rFonts w:ascii="Arial" w:hAnsi="Arial" w:cs="Arial"/>
          <w:color w:val="auto"/>
          <w:sz w:val="20"/>
          <w:szCs w:val="20"/>
          <w:u w:val="single"/>
          <w:lang w:val="en"/>
        </w:rPr>
      </w:pPr>
    </w:p>
    <w:p w14:paraId="7CF61216" w14:textId="77777777" w:rsidR="00D64801" w:rsidRPr="00BA1B7B" w:rsidRDefault="00D64801" w:rsidP="00D64801">
      <w:pPr>
        <w:pStyle w:val="Default"/>
        <w:rPr>
          <w:rFonts w:ascii="Arial" w:hAnsi="Arial" w:cs="Arial"/>
          <w:color w:val="auto"/>
          <w:sz w:val="20"/>
          <w:szCs w:val="20"/>
          <w:u w:val="single"/>
          <w:lang w:val="en"/>
        </w:rPr>
      </w:pPr>
      <w:r w:rsidRPr="00BA1B7B">
        <w:rPr>
          <w:rFonts w:ascii="Arial" w:hAnsi="Arial" w:cs="Arial"/>
          <w:color w:val="auto"/>
          <w:sz w:val="20"/>
          <w:szCs w:val="20"/>
          <w:u w:val="single"/>
          <w:lang w:val="en"/>
        </w:rPr>
        <w:t>Aspirin and calcium:</w:t>
      </w:r>
    </w:p>
    <w:p w14:paraId="0720C723" w14:textId="77777777" w:rsidR="00D64801" w:rsidRPr="00BA1B7B" w:rsidRDefault="00D64801" w:rsidP="00D64801">
      <w:pPr>
        <w:pStyle w:val="Default"/>
        <w:rPr>
          <w:rFonts w:ascii="Arial" w:hAnsi="Arial" w:cs="Arial"/>
          <w:color w:val="auto"/>
          <w:sz w:val="20"/>
          <w:szCs w:val="20"/>
          <w:lang w:val="en"/>
        </w:rPr>
      </w:pPr>
    </w:p>
    <w:p w14:paraId="0F8447FC"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Women at risk of pre-eclampsia should be advised to take aspirin 100mg tablets from 11weeks and prior to 16 weeks until 36 weeks gestation, in absence of contraindications such as allergy or severe uncontrolled hyperemesis.  Some studies have suggested 150mg however in view of the emerging evidence of a small risk of PPH following NVD in cohorts of women on aspirin, this dose is reserved for women who have screened high risk on EO-PE screening (see above).  If 150mg is chosen, women take ½ a 300mg tablet and discard the other half which is not stable out of the blister pack.  The dose is taken in the evening.</w:t>
      </w:r>
    </w:p>
    <w:p w14:paraId="60CA3FD9" w14:textId="77777777" w:rsidR="00D64801" w:rsidRPr="00BA1B7B" w:rsidRDefault="00D64801" w:rsidP="00D64801">
      <w:pPr>
        <w:pStyle w:val="Default"/>
        <w:rPr>
          <w:rFonts w:ascii="Arial" w:hAnsi="Arial" w:cs="Arial"/>
          <w:color w:val="auto"/>
          <w:sz w:val="20"/>
          <w:szCs w:val="20"/>
          <w:lang w:val="en"/>
        </w:rPr>
      </w:pPr>
    </w:p>
    <w:p w14:paraId="4A00559A" w14:textId="77777777" w:rsidR="00D64801" w:rsidRPr="00BA1B7B" w:rsidRDefault="00D64801" w:rsidP="00D64801">
      <w:pPr>
        <w:pStyle w:val="Default"/>
        <w:rPr>
          <w:rFonts w:ascii="Arial" w:hAnsi="Arial" w:cs="Arial"/>
          <w:color w:val="auto"/>
          <w:sz w:val="20"/>
          <w:szCs w:val="20"/>
          <w:lang w:val="en"/>
        </w:rPr>
      </w:pPr>
      <w:r w:rsidRPr="00BA1B7B">
        <w:rPr>
          <w:rFonts w:ascii="Arial" w:hAnsi="Arial" w:cs="Arial"/>
          <w:color w:val="auto"/>
          <w:sz w:val="20"/>
          <w:szCs w:val="20"/>
          <w:lang w:val="en"/>
        </w:rPr>
        <w:t>Women on low calcium diets are at increased risk of pre-eclampsia so unless the diet can be changed, calcium is supplemented at a dose of 1000mg elemental calcium a day taken AWAY from meals to facilitate absorption.</w:t>
      </w:r>
    </w:p>
    <w:p w14:paraId="09E0D2C2" w14:textId="77777777" w:rsidR="00D64801" w:rsidRPr="00BA1B7B" w:rsidRDefault="00D64801" w:rsidP="00D64801">
      <w:pPr>
        <w:pStyle w:val="Default"/>
        <w:rPr>
          <w:rFonts w:ascii="Arial" w:hAnsi="Arial" w:cs="Arial"/>
          <w:color w:val="auto"/>
          <w:sz w:val="20"/>
          <w:szCs w:val="20"/>
          <w:lang w:val="en"/>
        </w:rPr>
      </w:pPr>
    </w:p>
    <w:p w14:paraId="11021FD7" w14:textId="77777777" w:rsidR="00D64801" w:rsidRPr="00BA1B7B" w:rsidRDefault="00D64801" w:rsidP="00D64801">
      <w:pPr>
        <w:pStyle w:val="Default"/>
        <w:rPr>
          <w:rFonts w:ascii="Arial" w:hAnsi="Arial" w:cs="Arial"/>
          <w:color w:val="auto"/>
          <w:sz w:val="20"/>
          <w:szCs w:val="20"/>
          <w:u w:val="single"/>
          <w:lang w:val="en"/>
        </w:rPr>
      </w:pPr>
      <w:r w:rsidRPr="00BA1B7B">
        <w:rPr>
          <w:rFonts w:ascii="Arial" w:hAnsi="Arial" w:cs="Arial"/>
          <w:color w:val="auto"/>
          <w:sz w:val="20"/>
          <w:szCs w:val="20"/>
          <w:u w:val="single"/>
          <w:lang w:val="en"/>
        </w:rPr>
        <w:t>CV risk and BP follow up:</w:t>
      </w:r>
    </w:p>
    <w:p w14:paraId="198C39E6" w14:textId="77777777" w:rsidR="00D64801" w:rsidRPr="00BA1B7B" w:rsidRDefault="00D64801" w:rsidP="00D64801">
      <w:pPr>
        <w:pStyle w:val="Default"/>
        <w:rPr>
          <w:rFonts w:ascii="Arial" w:hAnsi="Arial" w:cs="Arial"/>
          <w:color w:val="auto"/>
          <w:sz w:val="20"/>
          <w:szCs w:val="20"/>
          <w:u w:val="single"/>
        </w:rPr>
      </w:pPr>
    </w:p>
    <w:p w14:paraId="3395E846" w14:textId="77777777" w:rsidR="00D64801" w:rsidRPr="00BA1B7B" w:rsidRDefault="00D64801" w:rsidP="00D64801">
      <w:pPr>
        <w:pStyle w:val="Default"/>
        <w:rPr>
          <w:rFonts w:ascii="Arial" w:hAnsi="Arial" w:cs="Arial"/>
          <w:color w:val="auto"/>
          <w:sz w:val="20"/>
          <w:szCs w:val="20"/>
          <w:u w:val="single"/>
        </w:rPr>
      </w:pPr>
      <w:r w:rsidRPr="00BA1B7B">
        <w:rPr>
          <w:rFonts w:ascii="Arial" w:hAnsi="Arial" w:cs="Arial"/>
          <w:color w:val="auto"/>
          <w:sz w:val="20"/>
          <w:szCs w:val="20"/>
        </w:rPr>
        <w:t>Women, who have had pre-eclampsia (especially those with recurrent PET) or gestational HT, are at increased risk of chronic HT and vascular disease later in life.  BP, urine PCR and CV risk factors should be checked at least annually and optimised lifelong.  This includes healthy potassium rich diet (fruit and vegetables), exercise and a healthy BMI range.</w:t>
      </w:r>
    </w:p>
    <w:p w14:paraId="18FC965B" w14:textId="77777777" w:rsidR="00D64801" w:rsidRPr="00BA1B7B" w:rsidRDefault="00D64801" w:rsidP="00D64801">
      <w:pPr>
        <w:rPr>
          <w:rFonts w:ascii="Arial" w:hAnsi="Arial" w:cs="Arial"/>
          <w:sz w:val="20"/>
          <w:szCs w:val="20"/>
        </w:rPr>
      </w:pPr>
    </w:p>
    <w:p w14:paraId="3EE5494B" w14:textId="3E753ED0" w:rsidR="001D2555" w:rsidRDefault="001D2555" w:rsidP="00D64801">
      <w:pPr>
        <w:rPr>
          <w:rFonts w:ascii="Arial" w:hAnsi="Arial" w:cs="Arial"/>
          <w:b/>
          <w:bCs/>
          <w:sz w:val="20"/>
          <w:szCs w:val="20"/>
        </w:rPr>
      </w:pPr>
    </w:p>
    <w:p w14:paraId="32F794EB" w14:textId="77777777" w:rsidR="0057448F" w:rsidRPr="00BA1B7B" w:rsidRDefault="0057448F" w:rsidP="00D64801">
      <w:pPr>
        <w:rPr>
          <w:rFonts w:ascii="Arial" w:hAnsi="Arial" w:cs="Arial"/>
          <w:b/>
          <w:bCs/>
          <w:sz w:val="20"/>
          <w:szCs w:val="20"/>
        </w:rPr>
      </w:pPr>
    </w:p>
    <w:p w14:paraId="621A539A" w14:textId="00A43692" w:rsidR="00D64801" w:rsidRPr="00BA1B7B" w:rsidRDefault="00670C9D"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3" w:name="_Toc120614317"/>
      <w:r w:rsidRPr="00BA1B7B">
        <w:rPr>
          <w:rFonts w:ascii="Arial" w:eastAsia="Times New Roman" w:hAnsi="Arial" w:cs="Arial"/>
          <w:b/>
          <w:bCs/>
          <w:sz w:val="20"/>
          <w:szCs w:val="20"/>
          <w:lang w:eastAsia="en-AU"/>
        </w:rPr>
        <w:t xml:space="preserve">7.9 Section 7 </w:t>
      </w:r>
      <w:r w:rsidR="00D64801" w:rsidRPr="00BA1B7B">
        <w:rPr>
          <w:rFonts w:ascii="Arial" w:eastAsia="Times New Roman" w:hAnsi="Arial" w:cs="Arial"/>
          <w:b/>
          <w:bCs/>
          <w:sz w:val="20"/>
          <w:szCs w:val="20"/>
          <w:lang w:eastAsia="en-AU"/>
        </w:rPr>
        <w:t>References and Resources</w:t>
      </w:r>
      <w:bookmarkEnd w:id="83"/>
    </w:p>
    <w:p w14:paraId="321B54E1" w14:textId="77777777" w:rsidR="00D64801" w:rsidRPr="00BA1B7B" w:rsidRDefault="00D64801" w:rsidP="00D64801">
      <w:pPr>
        <w:rPr>
          <w:rFonts w:ascii="Arial" w:hAnsi="Arial" w:cs="Arial"/>
          <w:b/>
          <w:sz w:val="20"/>
          <w:szCs w:val="20"/>
        </w:rPr>
      </w:pPr>
    </w:p>
    <w:p w14:paraId="5D9404CB"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 xml:space="preserve">Australasian diabetes in pregnancy society (2012): </w:t>
      </w:r>
      <w:hyperlink r:id="rId141" w:history="1">
        <w:r w:rsidRPr="00BA1B7B">
          <w:rPr>
            <w:rStyle w:val="Hyperlink"/>
            <w:rFonts w:ascii="Arial" w:hAnsi="Arial" w:cs="Arial"/>
            <w:color w:val="auto"/>
            <w:sz w:val="20"/>
            <w:szCs w:val="20"/>
          </w:rPr>
          <w:t>https://www.adips.org/resources-pregnancy-and-diabetes.asp</w:t>
        </w:r>
      </w:hyperlink>
    </w:p>
    <w:p w14:paraId="1288BD69" w14:textId="77777777" w:rsidR="00D64801" w:rsidRPr="00BA1B7B" w:rsidRDefault="00D64801" w:rsidP="001D2555">
      <w:pPr>
        <w:rPr>
          <w:rFonts w:ascii="Arial" w:hAnsi="Arial" w:cs="Arial"/>
          <w:sz w:val="20"/>
          <w:szCs w:val="20"/>
        </w:rPr>
      </w:pPr>
    </w:p>
    <w:p w14:paraId="22D71A92"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 xml:space="preserve">Department of Health (2020) Clinical Practice Guidelines: Pregnancy Care. Canberra: Australian Government Department of Health: </w:t>
      </w:r>
      <w:hyperlink r:id="rId142" w:history="1">
        <w:r w:rsidRPr="00BA1B7B">
          <w:rPr>
            <w:rStyle w:val="Hyperlink"/>
            <w:rFonts w:ascii="Arial" w:hAnsi="Arial" w:cs="Arial"/>
            <w:color w:val="auto"/>
            <w:sz w:val="20"/>
            <w:szCs w:val="20"/>
          </w:rPr>
          <w:t>https://www.health.gov.au/resources/pregnancy-care-guidelines/part-f-routine-maternal-health-tests/hyperglycaemia</w:t>
        </w:r>
      </w:hyperlink>
    </w:p>
    <w:p w14:paraId="31231A13" w14:textId="77777777" w:rsidR="00D64801" w:rsidRPr="00BA1B7B" w:rsidRDefault="00D64801" w:rsidP="001D2555">
      <w:pPr>
        <w:rPr>
          <w:rFonts w:ascii="Arial" w:hAnsi="Arial" w:cs="Arial"/>
          <w:sz w:val="20"/>
          <w:szCs w:val="20"/>
        </w:rPr>
      </w:pPr>
    </w:p>
    <w:p w14:paraId="246A13FB" w14:textId="1667C1BE" w:rsidR="00D64801" w:rsidRPr="00BA1B7B" w:rsidRDefault="00D64801" w:rsidP="004A22FD">
      <w:pPr>
        <w:pStyle w:val="ListParagraph"/>
        <w:numPr>
          <w:ilvl w:val="0"/>
          <w:numId w:val="42"/>
        </w:numPr>
        <w:spacing w:line="240" w:lineRule="auto"/>
        <w:rPr>
          <w:rStyle w:val="Hyperlink"/>
          <w:rFonts w:ascii="Arial" w:hAnsi="Arial" w:cs="Arial"/>
          <w:color w:val="auto"/>
          <w:sz w:val="20"/>
          <w:szCs w:val="20"/>
          <w:u w:val="none"/>
        </w:rPr>
      </w:pPr>
      <w:r w:rsidRPr="00BA1B7B">
        <w:rPr>
          <w:rFonts w:ascii="Arial" w:hAnsi="Arial" w:cs="Arial"/>
          <w:sz w:val="20"/>
          <w:szCs w:val="20"/>
        </w:rPr>
        <w:t xml:space="preserve">Diabetes Australia (2020) Gestational Diabetes: </w:t>
      </w:r>
      <w:hyperlink r:id="rId143" w:history="1">
        <w:r w:rsidRPr="00BA1B7B">
          <w:rPr>
            <w:rStyle w:val="Hyperlink"/>
            <w:rFonts w:ascii="Arial" w:hAnsi="Arial" w:cs="Arial"/>
            <w:color w:val="auto"/>
            <w:sz w:val="20"/>
            <w:szCs w:val="20"/>
          </w:rPr>
          <w:t>https://www.diabetesaustralia.com.au/gestational-diabetes</w:t>
        </w:r>
      </w:hyperlink>
    </w:p>
    <w:p w14:paraId="258046BB" w14:textId="77777777" w:rsidR="001D2555" w:rsidRPr="00BA1B7B" w:rsidRDefault="001D2555" w:rsidP="001D2555">
      <w:pPr>
        <w:pStyle w:val="ListParagraph"/>
        <w:spacing w:line="240" w:lineRule="auto"/>
        <w:rPr>
          <w:rFonts w:ascii="Arial" w:hAnsi="Arial" w:cs="Arial"/>
          <w:sz w:val="20"/>
          <w:szCs w:val="20"/>
        </w:rPr>
      </w:pPr>
    </w:p>
    <w:p w14:paraId="148D411A"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 xml:space="preserve">Diabetes Australia (2020) COVID 19 GDM recommendations: </w:t>
      </w:r>
      <w:hyperlink r:id="rId144" w:history="1">
        <w:r w:rsidRPr="00BA1B7B">
          <w:rPr>
            <w:rStyle w:val="Hyperlink"/>
            <w:rFonts w:ascii="Arial" w:hAnsi="Arial" w:cs="Arial"/>
            <w:color w:val="auto"/>
            <w:sz w:val="20"/>
            <w:szCs w:val="20"/>
          </w:rPr>
          <w:t>https://www.diabetesaustralia.com.au/covid-19-updates-for-health-professionals</w:t>
        </w:r>
      </w:hyperlink>
      <w:r w:rsidRPr="00BA1B7B">
        <w:rPr>
          <w:rFonts w:ascii="Arial" w:hAnsi="Arial" w:cs="Arial"/>
          <w:sz w:val="20"/>
          <w:szCs w:val="20"/>
        </w:rPr>
        <w:t xml:space="preserve"> </w:t>
      </w:r>
    </w:p>
    <w:p w14:paraId="0A074FC6" w14:textId="77777777" w:rsidR="00D64801" w:rsidRPr="00BA1B7B" w:rsidRDefault="00D64801" w:rsidP="001D2555">
      <w:pPr>
        <w:pStyle w:val="ListParagraph"/>
        <w:spacing w:line="240" w:lineRule="auto"/>
        <w:rPr>
          <w:rFonts w:ascii="Arial" w:hAnsi="Arial" w:cs="Arial"/>
          <w:sz w:val="20"/>
          <w:szCs w:val="20"/>
        </w:rPr>
      </w:pPr>
    </w:p>
    <w:p w14:paraId="11E5D0F8" w14:textId="2C56797A" w:rsidR="001D2555"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EH Policy 1020 – Diagnosis and Management of Gestational Diabetes</w:t>
      </w:r>
    </w:p>
    <w:p w14:paraId="7C45D372"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lastRenderedPageBreak/>
        <w:t xml:space="preserve">EH Policy 3391 – Iron deficiency and Anaemia in Pregnancy Guideline (2019) </w:t>
      </w:r>
    </w:p>
    <w:p w14:paraId="1DCDBF2B"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EH Policy 114 – Guideline for the prescribing and administration of parenteral iron in adults (2019)</w:t>
      </w:r>
    </w:p>
    <w:p w14:paraId="63306B78" w14:textId="78F0AF7B"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EH Policy 2388 - Prevention and Management of RhD Alloimmunization in Pregnancy (2019)</w:t>
      </w:r>
    </w:p>
    <w:p w14:paraId="5397C870"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 xml:space="preserve">The National Blood Authority (2003) Guidelines on the prophylactic use of Rh D immunoglobulin (Anti- D) in obstetrics: </w:t>
      </w:r>
      <w:hyperlink r:id="rId145" w:history="1">
        <w:r w:rsidRPr="00BA1B7B">
          <w:rPr>
            <w:rStyle w:val="Hyperlink"/>
            <w:rFonts w:ascii="Arial" w:hAnsi="Arial" w:cs="Arial"/>
            <w:color w:val="auto"/>
            <w:sz w:val="20"/>
            <w:szCs w:val="20"/>
          </w:rPr>
          <w:t>https://www.blood.gov.au/document/guidelines-prophylatic-use-rh-d-immunoglobulin-anti-d-obstetrics-pdf</w:t>
        </w:r>
      </w:hyperlink>
    </w:p>
    <w:p w14:paraId="00F15578" w14:textId="77777777" w:rsidR="00D64801" w:rsidRPr="00BA1B7B" w:rsidRDefault="00D64801" w:rsidP="001D2555">
      <w:pPr>
        <w:rPr>
          <w:rFonts w:ascii="Arial" w:hAnsi="Arial" w:cs="Arial"/>
          <w:sz w:val="20"/>
          <w:szCs w:val="20"/>
        </w:rPr>
      </w:pPr>
    </w:p>
    <w:p w14:paraId="45689BD5"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The National Blood Authority (2015) Frequently asked questions about the use of Rh (d) Immunoglobulin</w:t>
      </w:r>
    </w:p>
    <w:p w14:paraId="592F1FE8" w14:textId="77777777" w:rsidR="00D64801" w:rsidRPr="00BA1B7B" w:rsidRDefault="00D64801" w:rsidP="001D2555">
      <w:pPr>
        <w:pStyle w:val="ListParagraph"/>
        <w:spacing w:line="240" w:lineRule="auto"/>
        <w:rPr>
          <w:rFonts w:ascii="Arial" w:hAnsi="Arial" w:cs="Arial"/>
          <w:sz w:val="20"/>
          <w:szCs w:val="20"/>
        </w:rPr>
      </w:pPr>
    </w:p>
    <w:p w14:paraId="7FE7F14D"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NHS Screening Programmes. Sickle Cell and Thalassaemia Handbook for Laboratories. London; NHS:2012</w:t>
      </w:r>
    </w:p>
    <w:p w14:paraId="00211801" w14:textId="77777777" w:rsidR="00D64801" w:rsidRPr="00BA1B7B" w:rsidRDefault="00D64801" w:rsidP="001D2555">
      <w:pPr>
        <w:rPr>
          <w:rFonts w:ascii="Arial" w:hAnsi="Arial" w:cs="Arial"/>
          <w:sz w:val="20"/>
          <w:szCs w:val="20"/>
        </w:rPr>
      </w:pPr>
    </w:p>
    <w:p w14:paraId="10A289C0"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The Royal Australian and New Zealand College of Obstetricians and Gynaecologists (2017) Diagnosis of Gestational diabetes mellitus guidelines</w:t>
      </w:r>
      <w:bookmarkStart w:id="84" w:name="_Hlk48225066"/>
      <w:r w:rsidRPr="00BA1B7B">
        <w:rPr>
          <w:rFonts w:ascii="Arial" w:hAnsi="Arial" w:cs="Arial"/>
          <w:sz w:val="20"/>
          <w:szCs w:val="20"/>
        </w:rPr>
        <w:t xml:space="preserve">: </w:t>
      </w:r>
      <w:hyperlink r:id="rId146" w:history="1">
        <w:r w:rsidRPr="00BA1B7B">
          <w:rPr>
            <w:rStyle w:val="Hyperlink"/>
            <w:rFonts w:ascii="Arial" w:hAnsi="Arial" w:cs="Arial"/>
            <w:color w:val="auto"/>
            <w:sz w:val="20"/>
            <w:szCs w:val="20"/>
          </w:rPr>
          <w:t>https://ranzcog.edu.au/RANZCOG_SITE/media/RANZCOG-MEDIA/Women%27s%20Health/Statement%20and%20guidelines/Clinical-Obstetrics/Diagnosis-of-GDM-(C-Obs-7)-review-July-2017.pdf?ext=.pdf</w:t>
        </w:r>
      </w:hyperlink>
    </w:p>
    <w:bookmarkEnd w:id="84"/>
    <w:p w14:paraId="468B44BF" w14:textId="77777777" w:rsidR="00D64801" w:rsidRPr="00BA1B7B" w:rsidRDefault="00D64801" w:rsidP="001D2555">
      <w:pPr>
        <w:rPr>
          <w:rFonts w:ascii="Arial" w:hAnsi="Arial" w:cs="Arial"/>
          <w:sz w:val="20"/>
          <w:szCs w:val="20"/>
        </w:rPr>
      </w:pPr>
    </w:p>
    <w:p w14:paraId="67D92BDB"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 xml:space="preserve">The Royal Australian and New Zealand College of Obstetricians and Gynaecologists (2019). Guidelines for the use of Rh (D) Immunoglobulin (Anti -D) in obstetrics. </w:t>
      </w:r>
      <w:hyperlink r:id="rId147" w:history="1">
        <w:r w:rsidRPr="00BA1B7B">
          <w:rPr>
            <w:rStyle w:val="Hyperlink"/>
            <w:rFonts w:ascii="Arial" w:hAnsi="Arial" w:cs="Arial"/>
            <w:color w:val="auto"/>
            <w:sz w:val="20"/>
            <w:szCs w:val="20"/>
          </w:rPr>
          <w:t>https://ranzcog.edu.au/RANZCOG_SITE/media/RANZCOG-MEDIA/Women%27s%20Health/Statement%20and%20guidelines/Clinical-Obstetrics/Use-of-Rh(D)-Isoimmunization-(C-Obs-6).pdf?ext=.pdf</w:t>
        </w:r>
      </w:hyperlink>
    </w:p>
    <w:p w14:paraId="11746620" w14:textId="77777777" w:rsidR="00D64801" w:rsidRPr="00BA1B7B" w:rsidRDefault="00D64801" w:rsidP="001D2555">
      <w:pPr>
        <w:rPr>
          <w:rFonts w:ascii="Arial" w:hAnsi="Arial" w:cs="Arial"/>
          <w:sz w:val="20"/>
          <w:szCs w:val="20"/>
        </w:rPr>
      </w:pPr>
    </w:p>
    <w:p w14:paraId="397E8CE0" w14:textId="77777777" w:rsidR="00D64801" w:rsidRPr="00BA1B7B" w:rsidRDefault="00D64801" w:rsidP="004A22FD">
      <w:pPr>
        <w:pStyle w:val="Default"/>
        <w:numPr>
          <w:ilvl w:val="0"/>
          <w:numId w:val="42"/>
        </w:numPr>
        <w:rPr>
          <w:rFonts w:ascii="Arial" w:hAnsi="Arial" w:cs="Arial"/>
          <w:color w:val="auto"/>
          <w:sz w:val="20"/>
          <w:szCs w:val="20"/>
        </w:rPr>
      </w:pPr>
      <w:r w:rsidRPr="00BA1B7B">
        <w:rPr>
          <w:rFonts w:ascii="Arial" w:hAnsi="Arial" w:cs="Arial"/>
          <w:color w:val="auto"/>
          <w:sz w:val="20"/>
          <w:szCs w:val="20"/>
        </w:rPr>
        <w:t xml:space="preserve">The Royal Women’s Hospital (RWH). Thalassaemia and Abnormal Haemoglobins in Pregnancy Available from URL: </w:t>
      </w:r>
      <w:hyperlink r:id="rId148" w:history="1">
        <w:r w:rsidRPr="00BA1B7B">
          <w:rPr>
            <w:rStyle w:val="Hyperlink"/>
            <w:rFonts w:ascii="Arial" w:hAnsi="Arial" w:cs="Arial"/>
            <w:color w:val="auto"/>
            <w:sz w:val="20"/>
            <w:szCs w:val="20"/>
          </w:rPr>
          <w:t>https://thewomens.r.worldssl.net/images/uploads/downloadable-records/clinical-guidelines/thalassaemia-and-abnormal-haemoglobins-in-pregnancy-guideline_280720.pdf</w:t>
        </w:r>
      </w:hyperlink>
    </w:p>
    <w:p w14:paraId="46EF5081" w14:textId="77777777" w:rsidR="00D64801" w:rsidRPr="00BA1B7B" w:rsidRDefault="00D64801" w:rsidP="001D2555">
      <w:pPr>
        <w:pStyle w:val="Default"/>
        <w:rPr>
          <w:rFonts w:ascii="Arial" w:hAnsi="Arial" w:cs="Arial"/>
          <w:color w:val="auto"/>
          <w:sz w:val="20"/>
          <w:szCs w:val="20"/>
        </w:rPr>
      </w:pPr>
    </w:p>
    <w:p w14:paraId="65F04A9D" w14:textId="77777777" w:rsidR="00D64801" w:rsidRPr="00BA1B7B" w:rsidRDefault="00D64801" w:rsidP="004A22FD">
      <w:pPr>
        <w:pStyle w:val="Default"/>
        <w:numPr>
          <w:ilvl w:val="0"/>
          <w:numId w:val="44"/>
        </w:numPr>
        <w:rPr>
          <w:rFonts w:ascii="Arial" w:hAnsi="Arial" w:cs="Arial"/>
          <w:color w:val="auto"/>
          <w:sz w:val="20"/>
          <w:szCs w:val="20"/>
        </w:rPr>
      </w:pPr>
      <w:r w:rsidRPr="00BA1B7B">
        <w:rPr>
          <w:rFonts w:ascii="Arial" w:hAnsi="Arial" w:cs="Arial"/>
          <w:color w:val="auto"/>
          <w:sz w:val="20"/>
          <w:szCs w:val="20"/>
        </w:rPr>
        <w:t>Weatherall D J. The thalassaemia’s: disorders of globin synthesis. In: Kaushansky K et al, Editors. Williams Haematology. 8th ed. China: McGaw Hill; 2010. p 675 – 707.</w:t>
      </w:r>
    </w:p>
    <w:p w14:paraId="4E6B5C80" w14:textId="77777777" w:rsidR="00D64801" w:rsidRPr="00BA1B7B" w:rsidRDefault="00D64801" w:rsidP="001D2555">
      <w:pPr>
        <w:pStyle w:val="Default"/>
        <w:rPr>
          <w:rFonts w:ascii="Arial" w:hAnsi="Arial" w:cs="Arial"/>
          <w:color w:val="auto"/>
          <w:sz w:val="20"/>
          <w:szCs w:val="20"/>
        </w:rPr>
      </w:pPr>
    </w:p>
    <w:p w14:paraId="07C870D2" w14:textId="77777777" w:rsidR="00D64801" w:rsidRPr="00BA1B7B" w:rsidRDefault="00D64801" w:rsidP="001D2555">
      <w:pPr>
        <w:pStyle w:val="ListParagraph"/>
        <w:spacing w:line="240" w:lineRule="auto"/>
        <w:rPr>
          <w:rFonts w:ascii="Arial" w:hAnsi="Arial" w:cs="Arial"/>
          <w:sz w:val="20"/>
          <w:szCs w:val="20"/>
        </w:rPr>
      </w:pPr>
    </w:p>
    <w:p w14:paraId="2F9CE55B" w14:textId="77777777" w:rsidR="00D64801" w:rsidRPr="00BA1B7B" w:rsidRDefault="00D64801" w:rsidP="004A22FD">
      <w:pPr>
        <w:pStyle w:val="ListParagraph"/>
        <w:numPr>
          <w:ilvl w:val="0"/>
          <w:numId w:val="42"/>
        </w:numPr>
        <w:spacing w:line="240" w:lineRule="auto"/>
        <w:rPr>
          <w:rFonts w:ascii="Arial" w:hAnsi="Arial" w:cs="Arial"/>
          <w:sz w:val="20"/>
          <w:szCs w:val="20"/>
        </w:rPr>
      </w:pPr>
      <w:r w:rsidRPr="00BA1B7B">
        <w:rPr>
          <w:rFonts w:ascii="Arial" w:hAnsi="Arial" w:cs="Arial"/>
          <w:sz w:val="20"/>
          <w:szCs w:val="20"/>
        </w:rPr>
        <w:t>WHO (2011) Haemoglobin concentrations for the diagnosis of anaemia and assessment of severity; Vitamin and Mineral Nutrition Information System. Geneva, World Health Organization.</w:t>
      </w:r>
    </w:p>
    <w:p w14:paraId="3117AF53" w14:textId="77777777" w:rsidR="00D64801" w:rsidRPr="00BA1B7B" w:rsidRDefault="00A97F97" w:rsidP="001D2555">
      <w:pPr>
        <w:pStyle w:val="ListParagraph"/>
        <w:spacing w:line="240" w:lineRule="auto"/>
        <w:rPr>
          <w:rFonts w:ascii="Arial" w:hAnsi="Arial" w:cs="Arial"/>
          <w:sz w:val="20"/>
          <w:szCs w:val="20"/>
        </w:rPr>
      </w:pPr>
      <w:hyperlink r:id="rId149" w:history="1">
        <w:r w:rsidR="00D64801" w:rsidRPr="00BA1B7B">
          <w:rPr>
            <w:rStyle w:val="Hyperlink"/>
            <w:rFonts w:ascii="Arial" w:hAnsi="Arial" w:cs="Arial"/>
            <w:color w:val="auto"/>
            <w:sz w:val="20"/>
            <w:szCs w:val="20"/>
          </w:rPr>
          <w:t>http://www.who.int/vmnis/indicators/haemoglobin.pdf</w:t>
        </w:r>
      </w:hyperlink>
    </w:p>
    <w:p w14:paraId="74ADBFC4" w14:textId="77777777" w:rsidR="00D64801" w:rsidRPr="00BA1B7B" w:rsidRDefault="00D64801" w:rsidP="001D2555">
      <w:pPr>
        <w:pStyle w:val="SubheadingLevel2EASH"/>
        <w:spacing w:line="240" w:lineRule="auto"/>
        <w:ind w:left="0" w:right="95"/>
        <w:rPr>
          <w:color w:val="auto"/>
        </w:rPr>
      </w:pPr>
    </w:p>
    <w:p w14:paraId="48A2C062" w14:textId="77777777" w:rsidR="00D64801" w:rsidRPr="00BA1B7B" w:rsidRDefault="00D64801" w:rsidP="004E7BEF">
      <w:pPr>
        <w:pStyle w:val="SubheadingLevel2EASH"/>
        <w:spacing w:line="276" w:lineRule="auto"/>
        <w:ind w:left="0" w:right="95"/>
        <w:rPr>
          <w:color w:val="auto"/>
        </w:rPr>
      </w:pPr>
    </w:p>
    <w:p w14:paraId="26BB44F2" w14:textId="77777777" w:rsidR="00D64801" w:rsidRPr="00BA1B7B" w:rsidRDefault="00D64801" w:rsidP="004E7BEF">
      <w:pPr>
        <w:pStyle w:val="SubheadingLevel2EASH"/>
        <w:spacing w:line="276" w:lineRule="auto"/>
        <w:ind w:left="0" w:right="95"/>
        <w:rPr>
          <w:color w:val="auto"/>
        </w:rPr>
      </w:pPr>
    </w:p>
    <w:p w14:paraId="7950CD7B" w14:textId="77777777" w:rsidR="00D64801" w:rsidRPr="00BA1B7B" w:rsidRDefault="00D64801" w:rsidP="004E7BEF">
      <w:pPr>
        <w:pStyle w:val="SubheadingLevel2EASH"/>
        <w:spacing w:line="276" w:lineRule="auto"/>
        <w:ind w:left="0" w:right="95"/>
        <w:rPr>
          <w:color w:val="auto"/>
        </w:rPr>
      </w:pPr>
    </w:p>
    <w:p w14:paraId="2BE7D229" w14:textId="77777777" w:rsidR="00D64801" w:rsidRPr="00BA1B7B" w:rsidRDefault="00D64801" w:rsidP="004E7BEF">
      <w:pPr>
        <w:pStyle w:val="SubheadingLevel2EASH"/>
        <w:spacing w:line="276" w:lineRule="auto"/>
        <w:ind w:left="0" w:right="95"/>
        <w:rPr>
          <w:color w:val="auto"/>
        </w:rPr>
      </w:pPr>
    </w:p>
    <w:p w14:paraId="777626B7" w14:textId="4399E080" w:rsidR="00D64801" w:rsidRPr="00BA1B7B" w:rsidRDefault="00D64801" w:rsidP="004E7BEF">
      <w:pPr>
        <w:pStyle w:val="SubheadingLevel2EASH"/>
        <w:spacing w:line="276" w:lineRule="auto"/>
        <w:ind w:left="0" w:right="95"/>
        <w:rPr>
          <w:color w:val="auto"/>
        </w:rPr>
      </w:pPr>
    </w:p>
    <w:p w14:paraId="0146699F" w14:textId="684898AD" w:rsidR="001D2555" w:rsidRPr="00BA1B7B" w:rsidRDefault="001D2555" w:rsidP="004E7BEF">
      <w:pPr>
        <w:pStyle w:val="SubheadingLevel2EASH"/>
        <w:spacing w:line="276" w:lineRule="auto"/>
        <w:ind w:left="0" w:right="95"/>
        <w:rPr>
          <w:color w:val="auto"/>
        </w:rPr>
      </w:pPr>
    </w:p>
    <w:p w14:paraId="44160864" w14:textId="59C526C5" w:rsidR="001D2555" w:rsidRPr="00BA1B7B" w:rsidRDefault="001D2555" w:rsidP="004E7BEF">
      <w:pPr>
        <w:pStyle w:val="SubheadingLevel2EASH"/>
        <w:spacing w:line="276" w:lineRule="auto"/>
        <w:ind w:left="0" w:right="95"/>
        <w:rPr>
          <w:color w:val="auto"/>
        </w:rPr>
      </w:pPr>
    </w:p>
    <w:p w14:paraId="23543966" w14:textId="67AE66A6" w:rsidR="001D2555" w:rsidRDefault="001D2555" w:rsidP="004E7BEF">
      <w:pPr>
        <w:pStyle w:val="SubheadingLevel2EASH"/>
        <w:spacing w:line="276" w:lineRule="auto"/>
        <w:ind w:left="0" w:right="95"/>
        <w:rPr>
          <w:color w:val="auto"/>
        </w:rPr>
      </w:pPr>
    </w:p>
    <w:p w14:paraId="28A4D87B" w14:textId="161F64DE" w:rsidR="0057448F" w:rsidRDefault="0057448F" w:rsidP="004E7BEF">
      <w:pPr>
        <w:pStyle w:val="SubheadingLevel2EASH"/>
        <w:spacing w:line="276" w:lineRule="auto"/>
        <w:ind w:left="0" w:right="95"/>
        <w:rPr>
          <w:color w:val="auto"/>
        </w:rPr>
      </w:pPr>
    </w:p>
    <w:p w14:paraId="4D6D4588" w14:textId="1CE92C39" w:rsidR="0057448F" w:rsidRDefault="0057448F" w:rsidP="004E7BEF">
      <w:pPr>
        <w:pStyle w:val="SubheadingLevel2EASH"/>
        <w:spacing w:line="276" w:lineRule="auto"/>
        <w:ind w:left="0" w:right="95"/>
        <w:rPr>
          <w:color w:val="auto"/>
        </w:rPr>
      </w:pPr>
    </w:p>
    <w:p w14:paraId="385258C1" w14:textId="4222F858" w:rsidR="0057448F" w:rsidRDefault="0057448F" w:rsidP="004E7BEF">
      <w:pPr>
        <w:pStyle w:val="SubheadingLevel2EASH"/>
        <w:spacing w:line="276" w:lineRule="auto"/>
        <w:ind w:left="0" w:right="95"/>
        <w:rPr>
          <w:color w:val="auto"/>
        </w:rPr>
      </w:pPr>
    </w:p>
    <w:p w14:paraId="529E25DA" w14:textId="49DF2255" w:rsidR="0057448F" w:rsidRDefault="0057448F" w:rsidP="004E7BEF">
      <w:pPr>
        <w:pStyle w:val="SubheadingLevel2EASH"/>
        <w:spacing w:line="276" w:lineRule="auto"/>
        <w:ind w:left="0" w:right="95"/>
        <w:rPr>
          <w:color w:val="auto"/>
        </w:rPr>
      </w:pPr>
    </w:p>
    <w:p w14:paraId="1034E196" w14:textId="73852452" w:rsidR="0057448F" w:rsidRDefault="0057448F" w:rsidP="004E7BEF">
      <w:pPr>
        <w:pStyle w:val="SubheadingLevel2EASH"/>
        <w:spacing w:line="276" w:lineRule="auto"/>
        <w:ind w:left="0" w:right="95"/>
        <w:rPr>
          <w:color w:val="auto"/>
        </w:rPr>
      </w:pPr>
    </w:p>
    <w:p w14:paraId="55CF4AE2" w14:textId="5A23DC02" w:rsidR="0057448F" w:rsidRDefault="0057448F" w:rsidP="004E7BEF">
      <w:pPr>
        <w:pStyle w:val="SubheadingLevel2EASH"/>
        <w:spacing w:line="276" w:lineRule="auto"/>
        <w:ind w:left="0" w:right="95"/>
        <w:rPr>
          <w:color w:val="auto"/>
        </w:rPr>
      </w:pPr>
    </w:p>
    <w:p w14:paraId="2CBC2EAA" w14:textId="6275A328" w:rsidR="0057448F" w:rsidRDefault="0057448F" w:rsidP="004E7BEF">
      <w:pPr>
        <w:pStyle w:val="SubheadingLevel2EASH"/>
        <w:spacing w:line="276" w:lineRule="auto"/>
        <w:ind w:left="0" w:right="95"/>
        <w:rPr>
          <w:color w:val="auto"/>
        </w:rPr>
      </w:pPr>
    </w:p>
    <w:p w14:paraId="56012253" w14:textId="6245F327" w:rsidR="0057448F" w:rsidRDefault="0057448F" w:rsidP="004E7BEF">
      <w:pPr>
        <w:pStyle w:val="SubheadingLevel2EASH"/>
        <w:spacing w:line="276" w:lineRule="auto"/>
        <w:ind w:left="0" w:right="95"/>
        <w:rPr>
          <w:color w:val="auto"/>
        </w:rPr>
      </w:pPr>
    </w:p>
    <w:p w14:paraId="308E097E" w14:textId="0CE67347" w:rsidR="0057448F" w:rsidRDefault="0057448F" w:rsidP="004E7BEF">
      <w:pPr>
        <w:pStyle w:val="SubheadingLevel2EASH"/>
        <w:spacing w:line="276" w:lineRule="auto"/>
        <w:ind w:left="0" w:right="95"/>
        <w:rPr>
          <w:color w:val="auto"/>
        </w:rPr>
      </w:pPr>
    </w:p>
    <w:p w14:paraId="7FE11B6B" w14:textId="59FE2DCB" w:rsidR="0057448F" w:rsidRDefault="0057448F" w:rsidP="004E7BEF">
      <w:pPr>
        <w:pStyle w:val="SubheadingLevel2EASH"/>
        <w:spacing w:line="276" w:lineRule="auto"/>
        <w:ind w:left="0" w:right="95"/>
        <w:rPr>
          <w:color w:val="auto"/>
        </w:rPr>
      </w:pPr>
    </w:p>
    <w:p w14:paraId="072FA389" w14:textId="7D59E526" w:rsidR="0057448F" w:rsidRDefault="0057448F" w:rsidP="004E7BEF">
      <w:pPr>
        <w:pStyle w:val="SubheadingLevel2EASH"/>
        <w:spacing w:line="276" w:lineRule="auto"/>
        <w:ind w:left="0" w:right="95"/>
        <w:rPr>
          <w:color w:val="auto"/>
        </w:rPr>
      </w:pPr>
    </w:p>
    <w:p w14:paraId="7CB8EBC6" w14:textId="7C2397C3" w:rsidR="0057448F" w:rsidRDefault="0057448F" w:rsidP="004E7BEF">
      <w:pPr>
        <w:pStyle w:val="SubheadingLevel2EASH"/>
        <w:spacing w:line="276" w:lineRule="auto"/>
        <w:ind w:left="0" w:right="95"/>
        <w:rPr>
          <w:color w:val="auto"/>
        </w:rPr>
      </w:pPr>
    </w:p>
    <w:p w14:paraId="7C81FC10" w14:textId="1D19DC71" w:rsidR="0057448F" w:rsidRDefault="0057448F" w:rsidP="004E7BEF">
      <w:pPr>
        <w:pStyle w:val="SubheadingLevel2EASH"/>
        <w:spacing w:line="276" w:lineRule="auto"/>
        <w:ind w:left="0" w:right="95"/>
        <w:rPr>
          <w:color w:val="auto"/>
        </w:rPr>
      </w:pPr>
    </w:p>
    <w:p w14:paraId="042AA9F4" w14:textId="10A91DA3" w:rsidR="0057448F" w:rsidRDefault="0057448F" w:rsidP="004E7BEF">
      <w:pPr>
        <w:pStyle w:val="SubheadingLevel2EASH"/>
        <w:spacing w:line="276" w:lineRule="auto"/>
        <w:ind w:left="0" w:right="95"/>
        <w:rPr>
          <w:color w:val="auto"/>
        </w:rPr>
      </w:pPr>
    </w:p>
    <w:p w14:paraId="42E2AC2A" w14:textId="5A5089A6" w:rsidR="0057448F" w:rsidRDefault="0057448F" w:rsidP="004E7BEF">
      <w:pPr>
        <w:pStyle w:val="SubheadingLevel2EASH"/>
        <w:spacing w:line="276" w:lineRule="auto"/>
        <w:ind w:left="0" w:right="95"/>
        <w:rPr>
          <w:color w:val="auto"/>
        </w:rPr>
      </w:pPr>
    </w:p>
    <w:p w14:paraId="5EBD9984" w14:textId="18EBD554" w:rsidR="0057448F" w:rsidRDefault="0057448F" w:rsidP="004E7BEF">
      <w:pPr>
        <w:pStyle w:val="SubheadingLevel2EASH"/>
        <w:spacing w:line="276" w:lineRule="auto"/>
        <w:ind w:left="0" w:right="95"/>
        <w:rPr>
          <w:color w:val="auto"/>
        </w:rPr>
      </w:pPr>
    </w:p>
    <w:p w14:paraId="2A63B93B" w14:textId="3FBD7261" w:rsidR="0057448F" w:rsidRDefault="0057448F" w:rsidP="004E7BEF">
      <w:pPr>
        <w:pStyle w:val="SubheadingLevel2EASH"/>
        <w:spacing w:line="276" w:lineRule="auto"/>
        <w:ind w:left="0" w:right="95"/>
        <w:rPr>
          <w:color w:val="auto"/>
        </w:rPr>
      </w:pPr>
    </w:p>
    <w:p w14:paraId="61D9B865" w14:textId="3E3AA81B" w:rsidR="0057448F" w:rsidRDefault="0057448F" w:rsidP="004E7BEF">
      <w:pPr>
        <w:pStyle w:val="SubheadingLevel2EASH"/>
        <w:spacing w:line="276" w:lineRule="auto"/>
        <w:ind w:left="0" w:right="95"/>
        <w:rPr>
          <w:color w:val="auto"/>
        </w:rPr>
      </w:pPr>
    </w:p>
    <w:p w14:paraId="6B4FDEA9" w14:textId="7AB284A2" w:rsidR="0057448F" w:rsidRDefault="0057448F" w:rsidP="004E7BEF">
      <w:pPr>
        <w:pStyle w:val="SubheadingLevel2EASH"/>
        <w:spacing w:line="276" w:lineRule="auto"/>
        <w:ind w:left="0" w:right="95"/>
        <w:rPr>
          <w:color w:val="auto"/>
        </w:rPr>
      </w:pPr>
    </w:p>
    <w:p w14:paraId="2D974745" w14:textId="799E3173" w:rsidR="0057448F" w:rsidRDefault="0057448F" w:rsidP="004E7BEF">
      <w:pPr>
        <w:pStyle w:val="SubheadingLevel2EASH"/>
        <w:spacing w:line="276" w:lineRule="auto"/>
        <w:ind w:left="0" w:right="95"/>
        <w:rPr>
          <w:color w:val="auto"/>
        </w:rPr>
      </w:pPr>
    </w:p>
    <w:p w14:paraId="44DC0B9A" w14:textId="7C7F6DD6" w:rsidR="0057448F" w:rsidRDefault="0057448F" w:rsidP="004E7BEF">
      <w:pPr>
        <w:pStyle w:val="SubheadingLevel2EASH"/>
        <w:spacing w:line="276" w:lineRule="auto"/>
        <w:ind w:left="0" w:right="95"/>
        <w:rPr>
          <w:color w:val="auto"/>
        </w:rPr>
      </w:pPr>
    </w:p>
    <w:p w14:paraId="3FA5A40D" w14:textId="17A1BB06" w:rsidR="0057448F" w:rsidRDefault="0057448F" w:rsidP="004E7BEF">
      <w:pPr>
        <w:pStyle w:val="SubheadingLevel2EASH"/>
        <w:spacing w:line="276" w:lineRule="auto"/>
        <w:ind w:left="0" w:right="95"/>
        <w:rPr>
          <w:color w:val="auto"/>
        </w:rPr>
      </w:pPr>
    </w:p>
    <w:p w14:paraId="32908E93" w14:textId="77777777" w:rsidR="0057448F" w:rsidRPr="00BA1B7B" w:rsidRDefault="0057448F" w:rsidP="004E7BEF">
      <w:pPr>
        <w:pStyle w:val="SubheadingLevel2EASH"/>
        <w:spacing w:line="276" w:lineRule="auto"/>
        <w:ind w:left="0" w:right="95"/>
        <w:rPr>
          <w:color w:val="auto"/>
        </w:rPr>
      </w:pPr>
    </w:p>
    <w:p w14:paraId="0AB820B0" w14:textId="33AE481F" w:rsidR="00D64801" w:rsidRPr="00BA1B7B" w:rsidRDefault="00D64801"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5" w:name="_Toc120614318"/>
      <w:r w:rsidRPr="00BA1B7B">
        <w:rPr>
          <w:rFonts w:ascii="Arial" w:eastAsia="Times New Roman" w:hAnsi="Arial" w:cs="Arial"/>
          <w:b/>
          <w:bCs/>
          <w:sz w:val="20"/>
          <w:szCs w:val="20"/>
          <w:lang w:eastAsia="en-AU"/>
        </w:rPr>
        <w:t>8. Mental Health in Pregnancy</w:t>
      </w:r>
      <w:bookmarkEnd w:id="85"/>
    </w:p>
    <w:p w14:paraId="54CAAA1F" w14:textId="77777777" w:rsidR="00D64801" w:rsidRPr="00BA1B7B" w:rsidRDefault="00D64801" w:rsidP="00D64801">
      <w:pPr>
        <w:rPr>
          <w:rFonts w:ascii="Arial" w:eastAsia="Calibri" w:hAnsi="Arial" w:cs="Arial"/>
          <w:iCs/>
          <w:sz w:val="20"/>
          <w:szCs w:val="20"/>
        </w:rPr>
      </w:pPr>
      <w:r w:rsidRPr="00BA1B7B">
        <w:rPr>
          <w:rFonts w:ascii="Arial" w:eastAsia="Calibri" w:hAnsi="Arial" w:cs="Arial"/>
          <w:iCs/>
          <w:sz w:val="20"/>
          <w:szCs w:val="20"/>
        </w:rPr>
        <w:t>The perinatal period is associated with significantly increased risk for onset and relapse of mental illness – higher than at any other time in a woman’s life.  If not identified or treated early, these bring significant cost to the women themselves, their families and the wider Australian community.</w:t>
      </w:r>
    </w:p>
    <w:p w14:paraId="7DED4B36" w14:textId="77777777" w:rsidR="00D64801" w:rsidRPr="00BA1B7B" w:rsidRDefault="00D64801" w:rsidP="00D64801">
      <w:pPr>
        <w:rPr>
          <w:rFonts w:ascii="Arial" w:eastAsia="Calibri" w:hAnsi="Arial" w:cs="Arial"/>
          <w:iCs/>
          <w:sz w:val="20"/>
          <w:szCs w:val="20"/>
        </w:rPr>
      </w:pPr>
    </w:p>
    <w:p w14:paraId="136B62A9" w14:textId="77777777" w:rsidR="00D64801" w:rsidRPr="00BA1B7B" w:rsidRDefault="00D64801" w:rsidP="00D64801">
      <w:pPr>
        <w:rPr>
          <w:rFonts w:ascii="Arial" w:eastAsia="Calibri" w:hAnsi="Arial" w:cs="Arial"/>
          <w:iCs/>
          <w:sz w:val="20"/>
          <w:szCs w:val="20"/>
          <w:lang w:eastAsia="en-AU"/>
        </w:rPr>
      </w:pPr>
      <w:r w:rsidRPr="00BA1B7B">
        <w:rPr>
          <w:rFonts w:ascii="Arial" w:eastAsia="Calibri" w:hAnsi="Arial" w:cs="Arial"/>
          <w:iCs/>
          <w:sz w:val="20"/>
          <w:szCs w:val="20"/>
        </w:rPr>
        <w:t>The Perinatal Mental Health Service (PEHS) is a multidisciplinary team of mental health clinicians and operates as part of the CHYMHS (Child/Youth Mental Health service) program. We focus on improving the identification, referral process and support of women in the perinatal period, living in the Eastern Health catchment area and e</w:t>
      </w:r>
      <w:r w:rsidRPr="00BA1B7B">
        <w:rPr>
          <w:rFonts w:ascii="Arial" w:eastAsia="Calibri" w:hAnsi="Arial" w:cs="Arial"/>
          <w:iCs/>
          <w:sz w:val="20"/>
          <w:szCs w:val="20"/>
          <w:lang w:eastAsia="en-AU"/>
        </w:rPr>
        <w:t>xperiencing the following:</w:t>
      </w:r>
    </w:p>
    <w:p w14:paraId="19B4B39B" w14:textId="77777777" w:rsidR="00D64801" w:rsidRPr="00BA1B7B" w:rsidRDefault="00D64801" w:rsidP="00D64801">
      <w:pPr>
        <w:rPr>
          <w:rFonts w:ascii="Arial" w:eastAsia="Calibri" w:hAnsi="Arial" w:cs="Arial"/>
          <w:iCs/>
          <w:sz w:val="20"/>
          <w:szCs w:val="20"/>
          <w:lang w:eastAsia="en-AU"/>
        </w:rPr>
      </w:pPr>
    </w:p>
    <w:p w14:paraId="445AFC5A" w14:textId="77777777" w:rsidR="00D64801" w:rsidRPr="00BA1B7B" w:rsidRDefault="00D64801" w:rsidP="004A22FD">
      <w:pPr>
        <w:numPr>
          <w:ilvl w:val="0"/>
          <w:numId w:val="49"/>
        </w:numPr>
        <w:spacing w:after="160" w:line="252" w:lineRule="auto"/>
        <w:contextualSpacing/>
        <w:rPr>
          <w:rFonts w:ascii="Arial" w:eastAsia="Calibri" w:hAnsi="Arial" w:cs="Arial"/>
          <w:iCs/>
          <w:sz w:val="20"/>
          <w:szCs w:val="20"/>
        </w:rPr>
      </w:pPr>
      <w:r w:rsidRPr="00BA1B7B">
        <w:rPr>
          <w:rFonts w:ascii="Arial" w:eastAsia="Calibri" w:hAnsi="Arial" w:cs="Arial"/>
          <w:iCs/>
          <w:sz w:val="20"/>
          <w:szCs w:val="20"/>
          <w:lang w:eastAsia="en-AU"/>
        </w:rPr>
        <w:t xml:space="preserve">substantial mental health difficulties as manifested by high levels of emotional, psychiatric or behavioural symptoms </w:t>
      </w:r>
    </w:p>
    <w:p w14:paraId="718FE7A0" w14:textId="77777777" w:rsidR="00D64801" w:rsidRPr="00BA1B7B" w:rsidRDefault="00D64801" w:rsidP="004A22FD">
      <w:pPr>
        <w:numPr>
          <w:ilvl w:val="0"/>
          <w:numId w:val="49"/>
        </w:numPr>
        <w:spacing w:after="160" w:line="252" w:lineRule="auto"/>
        <w:contextualSpacing/>
        <w:rPr>
          <w:rFonts w:ascii="Arial" w:eastAsia="Calibri" w:hAnsi="Arial" w:cs="Arial"/>
          <w:iCs/>
          <w:sz w:val="20"/>
          <w:szCs w:val="20"/>
        </w:rPr>
      </w:pPr>
      <w:r w:rsidRPr="00BA1B7B">
        <w:rPr>
          <w:rFonts w:ascii="Arial" w:eastAsia="Calibri" w:hAnsi="Arial" w:cs="Arial"/>
          <w:iCs/>
          <w:sz w:val="20"/>
          <w:szCs w:val="20"/>
          <w:lang w:eastAsia="en-AU"/>
        </w:rPr>
        <w:t>impairment and concerns around the growing development of attachment to baby</w:t>
      </w:r>
    </w:p>
    <w:p w14:paraId="38B5EAA6" w14:textId="77777777" w:rsidR="00D64801" w:rsidRPr="00BA1B7B" w:rsidRDefault="00D64801" w:rsidP="004A22FD">
      <w:pPr>
        <w:numPr>
          <w:ilvl w:val="0"/>
          <w:numId w:val="49"/>
        </w:numPr>
        <w:spacing w:after="160" w:line="252" w:lineRule="auto"/>
        <w:contextualSpacing/>
        <w:rPr>
          <w:rFonts w:ascii="Arial" w:eastAsia="Calibri" w:hAnsi="Arial" w:cs="Arial"/>
          <w:iCs/>
          <w:sz w:val="20"/>
          <w:szCs w:val="20"/>
        </w:rPr>
      </w:pPr>
      <w:r w:rsidRPr="00BA1B7B">
        <w:rPr>
          <w:rFonts w:ascii="Arial" w:eastAsia="Calibri" w:hAnsi="Arial" w:cs="Arial"/>
          <w:iCs/>
          <w:sz w:val="20"/>
          <w:szCs w:val="20"/>
          <w:lang w:eastAsia="en-AU"/>
        </w:rPr>
        <w:t>experiencing high levels of distress in relation to specific perinatal related psychological issues including pregnancy/fetal loss, birth trauma, infertility or difficult infant temperament</w:t>
      </w:r>
    </w:p>
    <w:p w14:paraId="35F7B028" w14:textId="77777777" w:rsidR="00D64801" w:rsidRPr="00BA1B7B" w:rsidRDefault="00D64801" w:rsidP="00D64801">
      <w:pPr>
        <w:rPr>
          <w:rFonts w:ascii="Arial" w:eastAsia="Calibri" w:hAnsi="Arial" w:cs="Arial"/>
          <w:iCs/>
          <w:sz w:val="20"/>
          <w:szCs w:val="20"/>
        </w:rPr>
      </w:pPr>
    </w:p>
    <w:p w14:paraId="7A2DBDCD" w14:textId="77777777" w:rsidR="00D64801" w:rsidRPr="00BA1B7B" w:rsidRDefault="00D64801" w:rsidP="00D64801">
      <w:pPr>
        <w:rPr>
          <w:rFonts w:ascii="Arial" w:eastAsia="Calibri" w:hAnsi="Arial" w:cs="Arial"/>
          <w:iCs/>
          <w:sz w:val="20"/>
          <w:szCs w:val="20"/>
        </w:rPr>
      </w:pPr>
      <w:r w:rsidRPr="00BA1B7B">
        <w:rPr>
          <w:rFonts w:ascii="Arial" w:eastAsia="Calibri" w:hAnsi="Arial" w:cs="Arial"/>
          <w:iCs/>
          <w:sz w:val="20"/>
          <w:szCs w:val="20"/>
        </w:rPr>
        <w:t>The Edinburgh Postnatal Depression Scale (EPDS) is a questionnaire originally developed to assist in identifying possible symptoms of depression in the postnatal period.  It also has adequate sensitivity and specificity to identify depressive symptoms in the antenatal period and is useful in identifying symptoms of anxiety. (COPE) All women should complete the EPDS at least once, preferably twice, in both the antenatal period and the postnatal period (ideally 6–12 weeks after the birth).</w:t>
      </w:r>
    </w:p>
    <w:p w14:paraId="47D7686B" w14:textId="77777777" w:rsidR="00D64801" w:rsidRPr="00BA1B7B" w:rsidRDefault="00D64801" w:rsidP="00D64801">
      <w:pPr>
        <w:rPr>
          <w:rFonts w:ascii="Arial" w:eastAsia="Calibri" w:hAnsi="Arial" w:cs="Arial"/>
          <w:iCs/>
          <w:sz w:val="20"/>
          <w:szCs w:val="20"/>
        </w:rPr>
      </w:pPr>
    </w:p>
    <w:p w14:paraId="2DCDAFF5" w14:textId="77777777" w:rsidR="00D64801" w:rsidRPr="00BA1B7B" w:rsidRDefault="00D64801" w:rsidP="00D64801">
      <w:pPr>
        <w:rPr>
          <w:rFonts w:ascii="Arial" w:eastAsia="Calibri" w:hAnsi="Arial" w:cs="Arial"/>
          <w:iCs/>
          <w:sz w:val="20"/>
          <w:szCs w:val="20"/>
        </w:rPr>
      </w:pPr>
      <w:r w:rsidRPr="00BA1B7B">
        <w:rPr>
          <w:rFonts w:ascii="Arial" w:eastAsia="Calibri" w:hAnsi="Arial" w:cs="Arial"/>
          <w:iCs/>
          <w:sz w:val="20"/>
          <w:szCs w:val="20"/>
        </w:rPr>
        <w:t>The non-diagnostic nature of the EPDS, its purpose and the fact that it relates to the previous seven days (not just that day), should be clearly explained. A Copy of the EPDS can be found at COPE.org.au</w:t>
      </w:r>
    </w:p>
    <w:p w14:paraId="46E410BC" w14:textId="77777777" w:rsidR="00D64801" w:rsidRPr="00BA1B7B" w:rsidRDefault="00D64801" w:rsidP="00D64801">
      <w:pPr>
        <w:rPr>
          <w:rFonts w:ascii="Arial" w:eastAsia="Calibri" w:hAnsi="Arial" w:cs="Arial"/>
          <w:iCs/>
          <w:sz w:val="20"/>
          <w:szCs w:val="20"/>
        </w:rPr>
      </w:pPr>
    </w:p>
    <w:p w14:paraId="3662E81F" w14:textId="77777777" w:rsidR="00D64801" w:rsidRPr="00BA1B7B" w:rsidRDefault="00D64801" w:rsidP="00D64801">
      <w:pPr>
        <w:rPr>
          <w:rFonts w:ascii="Arial" w:eastAsia="Calibri" w:hAnsi="Arial" w:cs="Arial"/>
          <w:iCs/>
          <w:sz w:val="20"/>
          <w:szCs w:val="20"/>
        </w:rPr>
      </w:pPr>
      <w:r w:rsidRPr="00BA1B7B">
        <w:rPr>
          <w:rFonts w:ascii="Arial" w:eastAsia="Calibri" w:hAnsi="Arial" w:cs="Arial"/>
          <w:iCs/>
          <w:sz w:val="20"/>
          <w:szCs w:val="20"/>
        </w:rPr>
        <w:t>Some helpful link include:</w:t>
      </w:r>
    </w:p>
    <w:p w14:paraId="0B6FAF5A" w14:textId="77777777" w:rsidR="00D64801" w:rsidRPr="00BA1B7B" w:rsidRDefault="00D64801" w:rsidP="00D64801">
      <w:pPr>
        <w:rPr>
          <w:rFonts w:ascii="Arial" w:eastAsia="Calibri" w:hAnsi="Arial" w:cs="Arial"/>
          <w:sz w:val="20"/>
          <w:szCs w:val="20"/>
        </w:rPr>
      </w:pPr>
    </w:p>
    <w:p w14:paraId="56A6CB1D" w14:textId="77777777" w:rsidR="00D64801" w:rsidRPr="00BA1B7B" w:rsidRDefault="00A97F97" w:rsidP="00D64801">
      <w:pPr>
        <w:rPr>
          <w:rFonts w:ascii="Arial" w:eastAsia="Calibri" w:hAnsi="Arial" w:cs="Arial"/>
          <w:sz w:val="20"/>
          <w:szCs w:val="20"/>
        </w:rPr>
      </w:pPr>
      <w:hyperlink r:id="rId150" w:history="1">
        <w:r w:rsidR="00D64801" w:rsidRPr="00BA1B7B">
          <w:rPr>
            <w:rFonts w:ascii="Arial" w:eastAsia="Calibri" w:hAnsi="Arial" w:cs="Arial"/>
            <w:sz w:val="20"/>
            <w:szCs w:val="20"/>
            <w:u w:val="single"/>
          </w:rPr>
          <w:t>https://www.cope.org.au/health-professionals/health-professionals-3/calculating-score-epds/</w:t>
        </w:r>
      </w:hyperlink>
    </w:p>
    <w:p w14:paraId="57CAF2F2" w14:textId="77777777" w:rsidR="00D64801" w:rsidRPr="00BA1B7B" w:rsidRDefault="00A97F97" w:rsidP="00D64801">
      <w:pPr>
        <w:rPr>
          <w:rFonts w:ascii="Arial" w:eastAsia="Calibri" w:hAnsi="Arial" w:cs="Arial"/>
          <w:sz w:val="20"/>
          <w:szCs w:val="20"/>
        </w:rPr>
      </w:pPr>
      <w:hyperlink r:id="rId151" w:history="1">
        <w:r w:rsidR="00D64801" w:rsidRPr="00BA1B7B">
          <w:rPr>
            <w:rFonts w:ascii="Arial" w:eastAsia="Calibri" w:hAnsi="Arial" w:cs="Arial"/>
            <w:sz w:val="20"/>
            <w:szCs w:val="20"/>
            <w:u w:val="single"/>
          </w:rPr>
          <w:t>https://panda.org.au/</w:t>
        </w:r>
      </w:hyperlink>
    </w:p>
    <w:p w14:paraId="1FD71ED5" w14:textId="77777777" w:rsidR="00D64801" w:rsidRPr="00BA1B7B" w:rsidRDefault="00A97F97" w:rsidP="00D64801">
      <w:pPr>
        <w:rPr>
          <w:rFonts w:ascii="Arial" w:eastAsia="Calibri" w:hAnsi="Arial" w:cs="Arial"/>
          <w:sz w:val="20"/>
          <w:szCs w:val="20"/>
        </w:rPr>
      </w:pPr>
      <w:hyperlink r:id="rId152" w:history="1">
        <w:r w:rsidR="00D64801" w:rsidRPr="00BA1B7B">
          <w:rPr>
            <w:rFonts w:ascii="Arial" w:eastAsia="Calibri" w:hAnsi="Arial" w:cs="Arial"/>
            <w:sz w:val="20"/>
            <w:szCs w:val="20"/>
            <w:u w:val="single"/>
          </w:rPr>
          <w:t>https://www.beyondblue.org.au/</w:t>
        </w:r>
      </w:hyperlink>
    </w:p>
    <w:p w14:paraId="1AC6A0F5" w14:textId="77777777" w:rsidR="00D64801" w:rsidRPr="00BA1B7B" w:rsidRDefault="00A97F97" w:rsidP="00D64801">
      <w:pPr>
        <w:rPr>
          <w:rFonts w:ascii="Arial" w:eastAsia="Calibri" w:hAnsi="Arial" w:cs="Arial"/>
          <w:sz w:val="20"/>
          <w:szCs w:val="20"/>
        </w:rPr>
      </w:pPr>
      <w:hyperlink r:id="rId153" w:history="1">
        <w:r w:rsidR="00D64801" w:rsidRPr="00BA1B7B">
          <w:rPr>
            <w:rFonts w:ascii="Arial" w:eastAsia="Calibri" w:hAnsi="Arial" w:cs="Arial"/>
            <w:sz w:val="20"/>
            <w:szCs w:val="20"/>
            <w:u w:val="single"/>
          </w:rPr>
          <w:t>https://forwhenhelpline.org.au/</w:t>
        </w:r>
      </w:hyperlink>
      <w:r w:rsidR="00D64801" w:rsidRPr="00BA1B7B">
        <w:rPr>
          <w:rFonts w:ascii="Arial" w:eastAsia="Calibri" w:hAnsi="Arial" w:cs="Arial"/>
          <w:sz w:val="20"/>
          <w:szCs w:val="20"/>
        </w:rPr>
        <w:t xml:space="preserve"> </w:t>
      </w:r>
    </w:p>
    <w:p w14:paraId="511986BC" w14:textId="77777777" w:rsidR="00D64801" w:rsidRPr="00BA1B7B" w:rsidRDefault="00D64801" w:rsidP="00D64801">
      <w:pPr>
        <w:spacing w:line="276" w:lineRule="auto"/>
        <w:rPr>
          <w:rFonts w:ascii="Arial" w:hAnsi="Arial" w:cs="Arial"/>
          <w:b/>
          <w:bCs/>
          <w:sz w:val="20"/>
          <w:szCs w:val="20"/>
        </w:rPr>
      </w:pPr>
    </w:p>
    <w:p w14:paraId="5B52A8D2" w14:textId="77777777" w:rsidR="00D64801" w:rsidRPr="00BA1B7B" w:rsidRDefault="00D64801" w:rsidP="004E7BEF">
      <w:pPr>
        <w:pStyle w:val="SubheadingLevel2EASH"/>
        <w:spacing w:line="276" w:lineRule="auto"/>
        <w:ind w:left="0" w:right="95"/>
        <w:rPr>
          <w:color w:val="auto"/>
        </w:rPr>
      </w:pPr>
    </w:p>
    <w:p w14:paraId="0D2367EB" w14:textId="77777777" w:rsidR="00D64801" w:rsidRPr="00BA1B7B" w:rsidRDefault="00D64801" w:rsidP="004E7BEF">
      <w:pPr>
        <w:pStyle w:val="SubheadingLevel2EASH"/>
        <w:spacing w:line="276" w:lineRule="auto"/>
        <w:ind w:left="0" w:right="95"/>
        <w:rPr>
          <w:color w:val="auto"/>
        </w:rPr>
      </w:pPr>
    </w:p>
    <w:p w14:paraId="22565DDE" w14:textId="77777777" w:rsidR="00D64801" w:rsidRPr="00BA1B7B" w:rsidRDefault="00D64801" w:rsidP="004E7BEF">
      <w:pPr>
        <w:pStyle w:val="SubheadingLevel2EASH"/>
        <w:spacing w:line="276" w:lineRule="auto"/>
        <w:ind w:left="0" w:right="95"/>
        <w:rPr>
          <w:color w:val="auto"/>
        </w:rPr>
      </w:pPr>
    </w:p>
    <w:p w14:paraId="665BC9AA" w14:textId="77777777" w:rsidR="00D64801" w:rsidRPr="00BA1B7B" w:rsidRDefault="00D64801" w:rsidP="004E7BEF">
      <w:pPr>
        <w:pStyle w:val="SubheadingLevel2EASH"/>
        <w:spacing w:line="276" w:lineRule="auto"/>
        <w:ind w:left="0" w:right="95"/>
        <w:rPr>
          <w:color w:val="auto"/>
        </w:rPr>
      </w:pPr>
    </w:p>
    <w:p w14:paraId="6A546B8D" w14:textId="77777777" w:rsidR="00D64801" w:rsidRPr="00BA1B7B" w:rsidRDefault="00D64801" w:rsidP="004E7BEF">
      <w:pPr>
        <w:pStyle w:val="SubheadingLevel2EASH"/>
        <w:spacing w:line="276" w:lineRule="auto"/>
        <w:ind w:left="0" w:right="95"/>
        <w:rPr>
          <w:color w:val="auto"/>
        </w:rPr>
      </w:pPr>
    </w:p>
    <w:p w14:paraId="43AEF689" w14:textId="77777777" w:rsidR="00D64801" w:rsidRPr="00BA1B7B" w:rsidRDefault="00D64801" w:rsidP="004E7BEF">
      <w:pPr>
        <w:pStyle w:val="SubheadingLevel2EASH"/>
        <w:spacing w:line="276" w:lineRule="auto"/>
        <w:ind w:left="0" w:right="95"/>
        <w:rPr>
          <w:color w:val="auto"/>
        </w:rPr>
      </w:pPr>
    </w:p>
    <w:p w14:paraId="2A34B858" w14:textId="77777777" w:rsidR="00D64801" w:rsidRPr="00BA1B7B" w:rsidRDefault="00D64801" w:rsidP="004E7BEF">
      <w:pPr>
        <w:pStyle w:val="SubheadingLevel2EASH"/>
        <w:spacing w:line="276" w:lineRule="auto"/>
        <w:ind w:left="0" w:right="95"/>
        <w:rPr>
          <w:color w:val="auto"/>
        </w:rPr>
      </w:pPr>
    </w:p>
    <w:p w14:paraId="4390C1E3" w14:textId="77777777" w:rsidR="00D64801" w:rsidRPr="00BA1B7B" w:rsidRDefault="00D64801" w:rsidP="004E7BEF">
      <w:pPr>
        <w:pStyle w:val="SubheadingLevel2EASH"/>
        <w:spacing w:line="276" w:lineRule="auto"/>
        <w:ind w:left="0" w:right="95"/>
        <w:rPr>
          <w:color w:val="auto"/>
        </w:rPr>
      </w:pPr>
    </w:p>
    <w:p w14:paraId="236B0AF7" w14:textId="77777777" w:rsidR="00D64801" w:rsidRPr="00BA1B7B" w:rsidRDefault="00D64801" w:rsidP="004E7BEF">
      <w:pPr>
        <w:pStyle w:val="SubheadingLevel2EASH"/>
        <w:spacing w:line="276" w:lineRule="auto"/>
        <w:ind w:left="0" w:right="95"/>
        <w:rPr>
          <w:color w:val="auto"/>
        </w:rPr>
      </w:pPr>
    </w:p>
    <w:p w14:paraId="5C9075FA" w14:textId="77777777" w:rsidR="00D64801" w:rsidRPr="00BA1B7B" w:rsidRDefault="00D64801" w:rsidP="004E7BEF">
      <w:pPr>
        <w:pStyle w:val="SubheadingLevel2EASH"/>
        <w:spacing w:line="276" w:lineRule="auto"/>
        <w:ind w:left="0" w:right="95"/>
        <w:rPr>
          <w:color w:val="auto"/>
        </w:rPr>
      </w:pPr>
    </w:p>
    <w:p w14:paraId="2D0AE644" w14:textId="77777777" w:rsidR="00D64801" w:rsidRPr="00BA1B7B" w:rsidRDefault="00D64801" w:rsidP="004E7BEF">
      <w:pPr>
        <w:pStyle w:val="SubheadingLevel2EASH"/>
        <w:spacing w:line="276" w:lineRule="auto"/>
        <w:ind w:left="0" w:right="95"/>
        <w:rPr>
          <w:color w:val="auto"/>
        </w:rPr>
      </w:pPr>
    </w:p>
    <w:p w14:paraId="321009E2" w14:textId="33449526" w:rsidR="00D64801" w:rsidRDefault="00D64801" w:rsidP="004E7BEF">
      <w:pPr>
        <w:pStyle w:val="SubheadingLevel2EASH"/>
        <w:spacing w:line="276" w:lineRule="auto"/>
        <w:ind w:left="0" w:right="95"/>
        <w:rPr>
          <w:color w:val="auto"/>
        </w:rPr>
      </w:pPr>
    </w:p>
    <w:p w14:paraId="691AA526" w14:textId="77777777" w:rsidR="0057448F" w:rsidRPr="00BA1B7B" w:rsidRDefault="0057448F" w:rsidP="004E7BEF">
      <w:pPr>
        <w:pStyle w:val="SubheadingLevel2EASH"/>
        <w:spacing w:line="276" w:lineRule="auto"/>
        <w:ind w:left="0" w:right="95"/>
        <w:rPr>
          <w:color w:val="auto"/>
        </w:rPr>
      </w:pPr>
    </w:p>
    <w:p w14:paraId="466A1CE7" w14:textId="62AD4C35" w:rsidR="00D64801" w:rsidRPr="0057448F" w:rsidRDefault="00D64801" w:rsidP="0057448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6" w:name="_Toc120614319"/>
      <w:r w:rsidRPr="00BA1B7B">
        <w:rPr>
          <w:rFonts w:ascii="Arial" w:eastAsia="Times New Roman" w:hAnsi="Arial" w:cs="Arial"/>
          <w:b/>
          <w:bCs/>
          <w:sz w:val="20"/>
          <w:szCs w:val="20"/>
          <w:lang w:eastAsia="en-AU"/>
        </w:rPr>
        <w:t>9. Post Natal Care</w:t>
      </w:r>
      <w:bookmarkEnd w:id="86"/>
      <w:r w:rsidRPr="00BA1B7B">
        <w:rPr>
          <w:rFonts w:ascii="Arial" w:eastAsia="Times New Roman" w:hAnsi="Arial" w:cs="Arial"/>
          <w:b/>
          <w:bCs/>
          <w:sz w:val="20"/>
          <w:szCs w:val="20"/>
          <w:lang w:eastAsia="en-AU"/>
        </w:rPr>
        <w:t xml:space="preserve"> </w:t>
      </w:r>
    </w:p>
    <w:p w14:paraId="6FE3B284" w14:textId="77777777" w:rsidR="00D64801" w:rsidRPr="00BA1B7B" w:rsidRDefault="00D64801" w:rsidP="00D64801">
      <w:pPr>
        <w:pStyle w:val="ListParagraph"/>
        <w:spacing w:line="276" w:lineRule="auto"/>
        <w:ind w:left="0"/>
        <w:rPr>
          <w:rFonts w:ascii="Arial" w:hAnsi="Arial" w:cs="Arial"/>
          <w:sz w:val="20"/>
          <w:szCs w:val="20"/>
        </w:rPr>
      </w:pPr>
      <w:r w:rsidRPr="00BA1B7B">
        <w:rPr>
          <w:rFonts w:ascii="Arial" w:hAnsi="Arial" w:cs="Arial"/>
          <w:sz w:val="20"/>
          <w:szCs w:val="20"/>
        </w:rPr>
        <w:t xml:space="preserve">Post birth at Eastern Health, several routine examinations is performed on the newborn baby. </w:t>
      </w:r>
    </w:p>
    <w:p w14:paraId="0D4461AD" w14:textId="77777777" w:rsidR="00D64801" w:rsidRPr="00BA1B7B" w:rsidRDefault="00D64801" w:rsidP="00D64801">
      <w:pPr>
        <w:pStyle w:val="ListParagraph"/>
        <w:spacing w:line="276" w:lineRule="auto"/>
        <w:ind w:left="0"/>
        <w:rPr>
          <w:rFonts w:ascii="Arial" w:hAnsi="Arial" w:cs="Arial"/>
          <w:sz w:val="20"/>
          <w:szCs w:val="20"/>
        </w:rPr>
      </w:pPr>
      <w:r w:rsidRPr="00BA1B7B">
        <w:rPr>
          <w:rFonts w:ascii="Arial" w:hAnsi="Arial" w:cs="Arial"/>
          <w:sz w:val="20"/>
          <w:szCs w:val="20"/>
        </w:rPr>
        <w:t>Prior to discharge from the EH service, all neonates will be offered the following injections and examinations.</w:t>
      </w:r>
    </w:p>
    <w:p w14:paraId="1363D6BC" w14:textId="77777777" w:rsidR="00D64801" w:rsidRPr="00BA1B7B" w:rsidRDefault="00D64801" w:rsidP="004A22FD">
      <w:pPr>
        <w:pStyle w:val="ListParagraph"/>
        <w:numPr>
          <w:ilvl w:val="0"/>
          <w:numId w:val="50"/>
        </w:numPr>
        <w:spacing w:line="276" w:lineRule="auto"/>
        <w:rPr>
          <w:rFonts w:ascii="Arial" w:hAnsi="Arial" w:cs="Arial"/>
          <w:sz w:val="20"/>
          <w:szCs w:val="20"/>
        </w:rPr>
      </w:pPr>
      <w:r w:rsidRPr="00BA1B7B">
        <w:rPr>
          <w:rFonts w:ascii="Arial" w:hAnsi="Arial" w:cs="Arial"/>
          <w:sz w:val="20"/>
          <w:szCs w:val="20"/>
        </w:rPr>
        <w:t>Full Newborn Examination check &amp; Oxygen Saturation Assessment</w:t>
      </w:r>
    </w:p>
    <w:p w14:paraId="78319634" w14:textId="77777777" w:rsidR="00D64801" w:rsidRPr="00BA1B7B" w:rsidRDefault="00D64801" w:rsidP="004A22FD">
      <w:pPr>
        <w:pStyle w:val="ListParagraph"/>
        <w:numPr>
          <w:ilvl w:val="0"/>
          <w:numId w:val="50"/>
        </w:numPr>
        <w:spacing w:line="276" w:lineRule="auto"/>
        <w:rPr>
          <w:rFonts w:ascii="Arial" w:hAnsi="Arial" w:cs="Arial"/>
          <w:sz w:val="20"/>
          <w:szCs w:val="20"/>
        </w:rPr>
      </w:pPr>
      <w:r w:rsidRPr="00BA1B7B">
        <w:rPr>
          <w:rFonts w:ascii="Arial" w:hAnsi="Arial" w:cs="Arial"/>
          <w:sz w:val="20"/>
          <w:szCs w:val="20"/>
        </w:rPr>
        <w:t>Vitamin K supplementation</w:t>
      </w:r>
    </w:p>
    <w:p w14:paraId="215C33AA"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Vitamin K Resources for Clinicians</w:t>
      </w:r>
    </w:p>
    <w:p w14:paraId="6936D473" w14:textId="77777777" w:rsidR="00D64801" w:rsidRPr="00BA1B7B" w:rsidRDefault="00A97F97" w:rsidP="00D64801">
      <w:pPr>
        <w:pStyle w:val="ListParagraph"/>
        <w:spacing w:line="276" w:lineRule="auto"/>
        <w:ind w:left="1440"/>
        <w:rPr>
          <w:rFonts w:ascii="Arial" w:hAnsi="Arial" w:cs="Arial"/>
          <w:sz w:val="20"/>
          <w:szCs w:val="20"/>
        </w:rPr>
      </w:pPr>
      <w:hyperlink r:id="rId154" w:history="1">
        <w:r w:rsidR="00D64801" w:rsidRPr="00BA1B7B">
          <w:rPr>
            <w:rStyle w:val="Hyperlink"/>
            <w:rFonts w:ascii="Arial" w:hAnsi="Arial" w:cs="Arial"/>
            <w:color w:val="auto"/>
            <w:sz w:val="20"/>
            <w:szCs w:val="20"/>
          </w:rPr>
          <w:t>https://www.nhmrc.gov.au/about-us/publications/vitamin-k-administration-newborns-joint-statement</w:t>
        </w:r>
      </w:hyperlink>
    </w:p>
    <w:p w14:paraId="77813BDB"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Vitamin K Fact Sheet for Parents</w:t>
      </w:r>
    </w:p>
    <w:p w14:paraId="33E238F8" w14:textId="77777777" w:rsidR="00D64801" w:rsidRPr="00BA1B7B" w:rsidRDefault="00A97F97" w:rsidP="00D64801">
      <w:pPr>
        <w:pStyle w:val="ListParagraph"/>
        <w:spacing w:line="276" w:lineRule="auto"/>
        <w:ind w:left="1440"/>
        <w:rPr>
          <w:rFonts w:ascii="Arial" w:hAnsi="Arial" w:cs="Arial"/>
          <w:sz w:val="20"/>
          <w:szCs w:val="20"/>
        </w:rPr>
      </w:pPr>
      <w:hyperlink r:id="rId155" w:history="1">
        <w:r w:rsidR="00D64801" w:rsidRPr="00BA1B7B">
          <w:rPr>
            <w:rStyle w:val="Hyperlink"/>
            <w:rFonts w:ascii="Arial" w:hAnsi="Arial" w:cs="Arial"/>
            <w:color w:val="auto"/>
            <w:sz w:val="20"/>
            <w:szCs w:val="20"/>
          </w:rPr>
          <w:t>https://www.nhmrc.gov.au/about-us/resources/vitamin-k-newborn-babies-information-parents</w:t>
        </w:r>
      </w:hyperlink>
    </w:p>
    <w:p w14:paraId="08B0580A" w14:textId="77777777" w:rsidR="00D64801" w:rsidRPr="00BA1B7B" w:rsidRDefault="00D64801" w:rsidP="004A22FD">
      <w:pPr>
        <w:pStyle w:val="ListParagraph"/>
        <w:numPr>
          <w:ilvl w:val="0"/>
          <w:numId w:val="50"/>
        </w:numPr>
        <w:spacing w:line="276" w:lineRule="auto"/>
        <w:rPr>
          <w:rFonts w:ascii="Arial" w:hAnsi="Arial" w:cs="Arial"/>
          <w:sz w:val="20"/>
          <w:szCs w:val="20"/>
        </w:rPr>
      </w:pPr>
      <w:r w:rsidRPr="00BA1B7B">
        <w:rPr>
          <w:rFonts w:ascii="Arial" w:hAnsi="Arial" w:cs="Arial"/>
          <w:sz w:val="20"/>
          <w:szCs w:val="20"/>
        </w:rPr>
        <w:lastRenderedPageBreak/>
        <w:t>Hepatitis B vaccination</w:t>
      </w:r>
    </w:p>
    <w:p w14:paraId="702E3838"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 xml:space="preserve">Hepatitis B Resources for Clinicians </w:t>
      </w:r>
      <w:hyperlink r:id="rId156" w:history="1">
        <w:r w:rsidRPr="00BA1B7B">
          <w:rPr>
            <w:rStyle w:val="Hyperlink"/>
            <w:rFonts w:ascii="Arial" w:hAnsi="Arial" w:cs="Arial"/>
            <w:color w:val="auto"/>
            <w:sz w:val="20"/>
            <w:szCs w:val="20"/>
          </w:rPr>
          <w:t>https://immunizationhandbook.health.gov.au/vaccine-preventable-diseases/hepatitis-b</w:t>
        </w:r>
      </w:hyperlink>
    </w:p>
    <w:p w14:paraId="382FAC36"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 xml:space="preserve">Hepatitis B Fact sheet for Parents </w:t>
      </w:r>
    </w:p>
    <w:p w14:paraId="17EE74CD" w14:textId="77777777" w:rsidR="00D64801" w:rsidRPr="00BA1B7B" w:rsidRDefault="00D64801" w:rsidP="004A22FD">
      <w:pPr>
        <w:pStyle w:val="ListParagraph"/>
        <w:numPr>
          <w:ilvl w:val="0"/>
          <w:numId w:val="50"/>
        </w:numPr>
        <w:spacing w:line="276" w:lineRule="auto"/>
        <w:rPr>
          <w:rFonts w:ascii="Arial" w:hAnsi="Arial" w:cs="Arial"/>
          <w:sz w:val="20"/>
          <w:szCs w:val="20"/>
        </w:rPr>
      </w:pPr>
      <w:r w:rsidRPr="00BA1B7B">
        <w:rPr>
          <w:rFonts w:ascii="Arial" w:hAnsi="Arial" w:cs="Arial"/>
          <w:sz w:val="20"/>
          <w:szCs w:val="20"/>
        </w:rPr>
        <w:t>Hepatitis B immunoglobulin (where indicated)</w:t>
      </w:r>
    </w:p>
    <w:p w14:paraId="3203A681"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Hepatitis B Immunoglobulin Recommendations for Clinicians</w:t>
      </w:r>
    </w:p>
    <w:p w14:paraId="51176805" w14:textId="77777777" w:rsidR="00D64801" w:rsidRPr="00BA1B7B" w:rsidRDefault="00A97F97" w:rsidP="00D64801">
      <w:pPr>
        <w:pStyle w:val="ListParagraph"/>
        <w:spacing w:line="276" w:lineRule="auto"/>
        <w:ind w:left="1440"/>
        <w:rPr>
          <w:rFonts w:ascii="Arial" w:hAnsi="Arial" w:cs="Arial"/>
          <w:sz w:val="20"/>
          <w:szCs w:val="20"/>
        </w:rPr>
      </w:pPr>
      <w:hyperlink r:id="rId157" w:history="1">
        <w:r w:rsidR="00D64801" w:rsidRPr="00BA1B7B">
          <w:rPr>
            <w:rFonts w:ascii="Arial" w:hAnsi="Arial" w:cs="Arial"/>
            <w:sz w:val="20"/>
            <w:szCs w:val="20"/>
            <w:u w:val="single"/>
          </w:rPr>
          <w:t>https://immunizationhandbook.health.gov.au/recommendations/infants-born-to-mothers-who-are-hepatitis-b-surface-antigen-positive-are-recommended</w:t>
        </w:r>
      </w:hyperlink>
    </w:p>
    <w:p w14:paraId="09FE7AC3" w14:textId="77777777" w:rsidR="00D64801" w:rsidRPr="00BA1B7B" w:rsidRDefault="00D64801" w:rsidP="004A22FD">
      <w:pPr>
        <w:pStyle w:val="ListParagraph"/>
        <w:numPr>
          <w:ilvl w:val="0"/>
          <w:numId w:val="50"/>
        </w:numPr>
        <w:spacing w:line="276" w:lineRule="auto"/>
        <w:rPr>
          <w:rFonts w:ascii="Arial" w:hAnsi="Arial" w:cs="Arial"/>
          <w:sz w:val="20"/>
          <w:szCs w:val="20"/>
        </w:rPr>
      </w:pPr>
      <w:r w:rsidRPr="00BA1B7B">
        <w:rPr>
          <w:rFonts w:ascii="Arial" w:hAnsi="Arial" w:cs="Arial"/>
          <w:sz w:val="20"/>
          <w:szCs w:val="20"/>
        </w:rPr>
        <w:t>Hearing Screen  - Performed by the Victorian Infant Hearing Screen Program clinicians</w:t>
      </w:r>
    </w:p>
    <w:p w14:paraId="02B83062"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VIHSP information for Clinicians</w:t>
      </w:r>
    </w:p>
    <w:p w14:paraId="6F24D326" w14:textId="77777777" w:rsidR="00D64801" w:rsidRPr="00BA1B7B" w:rsidRDefault="00A97F97" w:rsidP="00D64801">
      <w:pPr>
        <w:pStyle w:val="ListParagraph"/>
        <w:spacing w:line="276" w:lineRule="auto"/>
        <w:ind w:left="1440"/>
        <w:rPr>
          <w:rFonts w:ascii="Arial" w:hAnsi="Arial" w:cs="Arial"/>
          <w:sz w:val="20"/>
          <w:szCs w:val="20"/>
        </w:rPr>
      </w:pPr>
      <w:hyperlink r:id="rId158" w:history="1">
        <w:r w:rsidR="00D64801" w:rsidRPr="00BA1B7B">
          <w:rPr>
            <w:rFonts w:ascii="Arial" w:hAnsi="Arial" w:cs="Arial"/>
            <w:sz w:val="20"/>
            <w:szCs w:val="20"/>
            <w:u w:val="single"/>
          </w:rPr>
          <w:t>https://www.rch.org.au/vihsp/general_information/</w:t>
        </w:r>
      </w:hyperlink>
    </w:p>
    <w:p w14:paraId="72C557CF"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VIHSP information for Parents</w:t>
      </w:r>
    </w:p>
    <w:p w14:paraId="17C68C79" w14:textId="77777777" w:rsidR="00D64801" w:rsidRPr="00BA1B7B" w:rsidRDefault="00A97F97" w:rsidP="00D64801">
      <w:pPr>
        <w:pStyle w:val="ListParagraph"/>
        <w:spacing w:line="276" w:lineRule="auto"/>
        <w:ind w:left="1440"/>
        <w:rPr>
          <w:rFonts w:ascii="Arial" w:hAnsi="Arial" w:cs="Arial"/>
          <w:sz w:val="20"/>
          <w:szCs w:val="20"/>
        </w:rPr>
      </w:pPr>
      <w:hyperlink r:id="rId159" w:history="1">
        <w:r w:rsidR="00D64801" w:rsidRPr="00BA1B7B">
          <w:rPr>
            <w:rStyle w:val="Hyperlink"/>
            <w:rFonts w:ascii="Arial" w:hAnsi="Arial" w:cs="Arial"/>
            <w:color w:val="auto"/>
            <w:sz w:val="20"/>
            <w:szCs w:val="20"/>
          </w:rPr>
          <w:t>https://www.rch.org.au/vihsp/resources/Brochures/</w:t>
        </w:r>
      </w:hyperlink>
    </w:p>
    <w:p w14:paraId="3707C391" w14:textId="77777777" w:rsidR="00D64801" w:rsidRPr="00BA1B7B" w:rsidRDefault="00D64801" w:rsidP="004A22FD">
      <w:pPr>
        <w:pStyle w:val="ListParagraph"/>
        <w:numPr>
          <w:ilvl w:val="0"/>
          <w:numId w:val="50"/>
        </w:numPr>
        <w:spacing w:line="276" w:lineRule="auto"/>
        <w:rPr>
          <w:rFonts w:ascii="Arial" w:hAnsi="Arial" w:cs="Arial"/>
          <w:sz w:val="20"/>
          <w:szCs w:val="20"/>
        </w:rPr>
      </w:pPr>
      <w:r w:rsidRPr="00BA1B7B">
        <w:rPr>
          <w:rFonts w:ascii="Arial" w:hAnsi="Arial" w:cs="Arial"/>
          <w:sz w:val="20"/>
          <w:szCs w:val="20"/>
        </w:rPr>
        <w:t>Newborn bloodspot Screening test (NST)  - screening is performed in collaboration with the Victorian Clinical Genetic Services</w:t>
      </w:r>
    </w:p>
    <w:p w14:paraId="3FE661B3"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NST resources for clinicians</w:t>
      </w:r>
    </w:p>
    <w:p w14:paraId="043EE992" w14:textId="77777777" w:rsidR="00D64801" w:rsidRPr="00BA1B7B" w:rsidRDefault="00A97F97" w:rsidP="00D64801">
      <w:pPr>
        <w:pStyle w:val="ListParagraph"/>
        <w:spacing w:line="276" w:lineRule="auto"/>
        <w:ind w:left="1440"/>
        <w:rPr>
          <w:rFonts w:ascii="Arial" w:hAnsi="Arial" w:cs="Arial"/>
          <w:sz w:val="20"/>
          <w:szCs w:val="20"/>
        </w:rPr>
      </w:pPr>
      <w:hyperlink r:id="rId160" w:history="1">
        <w:r w:rsidR="00D64801" w:rsidRPr="00BA1B7B">
          <w:rPr>
            <w:rFonts w:ascii="Arial" w:hAnsi="Arial" w:cs="Arial"/>
            <w:sz w:val="20"/>
            <w:szCs w:val="20"/>
            <w:u w:val="single"/>
          </w:rPr>
          <w:t>https://www.vcgs.org.au/tests/newborn-bloodspot-screening</w:t>
        </w:r>
      </w:hyperlink>
    </w:p>
    <w:p w14:paraId="7C933BD6"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 xml:space="preserve">NST resources for parents </w:t>
      </w:r>
      <w:hyperlink r:id="rId161" w:history="1">
        <w:r w:rsidRPr="00BA1B7B">
          <w:rPr>
            <w:rFonts w:ascii="Arial" w:hAnsi="Arial" w:cs="Arial"/>
            <w:sz w:val="20"/>
            <w:szCs w:val="20"/>
            <w:u w:val="single"/>
          </w:rPr>
          <w:t>https://www.vcgs.org.au/sites/default/files/NewbornBrochure.pdf</w:t>
        </w:r>
      </w:hyperlink>
    </w:p>
    <w:p w14:paraId="376B6A9E" w14:textId="77777777" w:rsidR="00D64801" w:rsidRPr="00BA1B7B" w:rsidRDefault="00D64801" w:rsidP="004A22FD">
      <w:pPr>
        <w:pStyle w:val="ListParagraph"/>
        <w:numPr>
          <w:ilvl w:val="0"/>
          <w:numId w:val="50"/>
        </w:numPr>
        <w:spacing w:line="276" w:lineRule="auto"/>
        <w:rPr>
          <w:rFonts w:ascii="Arial" w:hAnsi="Arial" w:cs="Arial"/>
          <w:sz w:val="20"/>
          <w:szCs w:val="20"/>
        </w:rPr>
      </w:pPr>
      <w:r w:rsidRPr="00BA1B7B">
        <w:rPr>
          <w:rFonts w:ascii="Arial" w:hAnsi="Arial" w:cs="Arial"/>
          <w:sz w:val="20"/>
          <w:szCs w:val="20"/>
        </w:rPr>
        <w:t>Jaundice screening and diagnostic testing where indicated</w:t>
      </w:r>
    </w:p>
    <w:p w14:paraId="2EE5FC34" w14:textId="77777777" w:rsidR="00D64801" w:rsidRPr="00BA1B7B" w:rsidRDefault="00D64801" w:rsidP="004A22FD">
      <w:pPr>
        <w:pStyle w:val="ListParagraph"/>
        <w:numPr>
          <w:ilvl w:val="1"/>
          <w:numId w:val="50"/>
        </w:numPr>
        <w:spacing w:line="276" w:lineRule="auto"/>
        <w:rPr>
          <w:rFonts w:ascii="Arial" w:hAnsi="Arial" w:cs="Arial"/>
          <w:sz w:val="20"/>
          <w:szCs w:val="20"/>
        </w:rPr>
      </w:pPr>
      <w:r w:rsidRPr="00BA1B7B">
        <w:rPr>
          <w:rFonts w:ascii="Arial" w:hAnsi="Arial" w:cs="Arial"/>
          <w:sz w:val="20"/>
          <w:szCs w:val="20"/>
        </w:rPr>
        <w:t xml:space="preserve">Jaundice Resources for Clinicians </w:t>
      </w:r>
    </w:p>
    <w:p w14:paraId="48091156" w14:textId="77777777" w:rsidR="00D64801" w:rsidRPr="00BA1B7B" w:rsidRDefault="00A97F97" w:rsidP="00D64801">
      <w:pPr>
        <w:pStyle w:val="ListParagraph"/>
        <w:spacing w:line="276" w:lineRule="auto"/>
        <w:ind w:left="1440"/>
        <w:rPr>
          <w:rFonts w:ascii="Arial" w:hAnsi="Arial" w:cs="Arial"/>
          <w:sz w:val="20"/>
          <w:szCs w:val="20"/>
        </w:rPr>
      </w:pPr>
      <w:hyperlink r:id="rId162" w:history="1">
        <w:r w:rsidR="00D64801" w:rsidRPr="00BA1B7B">
          <w:rPr>
            <w:rFonts w:ascii="Arial" w:hAnsi="Arial" w:cs="Arial"/>
            <w:sz w:val="20"/>
            <w:szCs w:val="20"/>
            <w:u w:val="single"/>
          </w:rPr>
          <w:t>https://www.bettersafercare.vic.gov.au/resources/clinical-guidance/maternity-and-newborn/jaundice-in-neonates</w:t>
        </w:r>
      </w:hyperlink>
    </w:p>
    <w:p w14:paraId="1EEADDCC" w14:textId="110DDCF3"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These procedures and assessments will be performed prior to discharge from the Eastern Health service. As some of the examinations are time sensitive, some examinations will be performed within the home setting by the home visiting extended post</w:t>
      </w:r>
      <w:r w:rsidR="007A209E" w:rsidRPr="00BA1B7B">
        <w:rPr>
          <w:rFonts w:ascii="Arial" w:hAnsi="Arial" w:cs="Arial"/>
          <w:sz w:val="20"/>
          <w:szCs w:val="20"/>
        </w:rPr>
        <w:t>-partum</w:t>
      </w:r>
      <w:r w:rsidRPr="00BA1B7B">
        <w:rPr>
          <w:rFonts w:ascii="Arial" w:hAnsi="Arial" w:cs="Arial"/>
          <w:sz w:val="20"/>
          <w:szCs w:val="20"/>
        </w:rPr>
        <w:t xml:space="preserve"> care midwife.  Education and information brochures are provided to all parents about Vitamin K &amp; hepatitis B injections, the newborn hearing screen test and the newborn bloodspot screening test. These brochures are available in a wide range of languages, and parental consent is required before any of these procedures can be performed. </w:t>
      </w:r>
    </w:p>
    <w:p w14:paraId="460FD4C2" w14:textId="7A255415" w:rsidR="00D64801" w:rsidRDefault="00D64801" w:rsidP="00D64801">
      <w:pPr>
        <w:spacing w:line="276" w:lineRule="auto"/>
        <w:rPr>
          <w:rFonts w:ascii="Arial" w:hAnsi="Arial" w:cs="Arial"/>
          <w:b/>
          <w:bCs/>
          <w:sz w:val="20"/>
          <w:szCs w:val="20"/>
        </w:rPr>
      </w:pPr>
    </w:p>
    <w:p w14:paraId="05179A7A" w14:textId="77777777" w:rsidR="0057448F" w:rsidRPr="00BA1B7B" w:rsidRDefault="0057448F" w:rsidP="00D64801">
      <w:pPr>
        <w:spacing w:line="276" w:lineRule="auto"/>
        <w:rPr>
          <w:rFonts w:ascii="Arial" w:hAnsi="Arial" w:cs="Arial"/>
          <w:b/>
          <w:bCs/>
          <w:sz w:val="20"/>
          <w:szCs w:val="20"/>
        </w:rPr>
      </w:pPr>
    </w:p>
    <w:p w14:paraId="529A07AD" w14:textId="77777777" w:rsidR="0057448F" w:rsidRDefault="00D64801" w:rsidP="0057448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7" w:name="_Toc120614320"/>
      <w:r w:rsidRPr="00BA1B7B">
        <w:rPr>
          <w:rFonts w:ascii="Arial" w:eastAsia="Times New Roman" w:hAnsi="Arial" w:cs="Arial"/>
          <w:b/>
          <w:bCs/>
          <w:sz w:val="20"/>
          <w:szCs w:val="20"/>
          <w:lang w:eastAsia="en-AU"/>
        </w:rPr>
        <w:t>9.1 Anomalies in Newborn Screening Examinations</w:t>
      </w:r>
      <w:bookmarkEnd w:id="87"/>
      <w:r w:rsidRPr="00BA1B7B">
        <w:rPr>
          <w:rFonts w:ascii="Arial" w:eastAsia="Times New Roman" w:hAnsi="Arial" w:cs="Arial"/>
          <w:b/>
          <w:bCs/>
          <w:sz w:val="20"/>
          <w:szCs w:val="20"/>
          <w:lang w:eastAsia="en-AU"/>
        </w:rPr>
        <w:t xml:space="preserve">  </w:t>
      </w:r>
    </w:p>
    <w:p w14:paraId="0E92DAF8" w14:textId="70B45E7E" w:rsidR="00D64801" w:rsidRPr="0057448F" w:rsidRDefault="00D64801" w:rsidP="0057448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8" w:name="_Toc120614321"/>
      <w:r w:rsidRPr="00BA1B7B">
        <w:rPr>
          <w:rFonts w:ascii="Arial" w:hAnsi="Arial" w:cs="Arial"/>
          <w:b/>
          <w:bCs/>
          <w:sz w:val="20"/>
          <w:szCs w:val="20"/>
        </w:rPr>
        <w:t>Newborn Screening Bloodspot Test -</w:t>
      </w:r>
      <w:bookmarkEnd w:id="88"/>
      <w:r w:rsidRPr="00BA1B7B">
        <w:rPr>
          <w:rFonts w:ascii="Arial" w:hAnsi="Arial" w:cs="Arial"/>
          <w:b/>
          <w:bCs/>
          <w:sz w:val="20"/>
          <w:szCs w:val="20"/>
        </w:rPr>
        <w:t xml:space="preserve"> </w:t>
      </w:r>
    </w:p>
    <w:p w14:paraId="32E714BE"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If there are any collection or sample quality issues with the original test, the birth Hospital will be notified and a midwife will contact the family and organize a retest to be collected. This can be a result of an insufficient sample; the test being taken at an inappropriate time or prematurity of the baby.</w:t>
      </w:r>
    </w:p>
    <w:p w14:paraId="66137CC9"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If an abnormal result is returned, then the Victorian College of Genetic Specialists will contact the family directly and invite them for additional screening. Parents will not receive any contact at all if the results are normal.</w:t>
      </w:r>
    </w:p>
    <w:p w14:paraId="14A71AF7" w14:textId="77777777" w:rsidR="00D64801" w:rsidRPr="00BA1B7B" w:rsidRDefault="00D64801" w:rsidP="00D64801">
      <w:pPr>
        <w:spacing w:line="276" w:lineRule="auto"/>
        <w:rPr>
          <w:rFonts w:ascii="Arial" w:hAnsi="Arial" w:cs="Arial"/>
          <w:sz w:val="20"/>
          <w:szCs w:val="20"/>
          <w:u w:val="single"/>
        </w:rPr>
      </w:pPr>
      <w:r w:rsidRPr="00BA1B7B">
        <w:rPr>
          <w:rFonts w:ascii="Arial" w:hAnsi="Arial" w:cs="Arial"/>
          <w:sz w:val="20"/>
          <w:szCs w:val="20"/>
          <w:u w:val="single"/>
        </w:rPr>
        <w:t>VCGS Contact Details:</w:t>
      </w:r>
    </w:p>
    <w:p w14:paraId="69C23771"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Victorian Clinical Genetics Service </w:t>
      </w:r>
    </w:p>
    <w:p w14:paraId="5AD5CF5A"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 xml:space="preserve">Flemington Road, Parkville VIC 3052 </w:t>
      </w:r>
    </w:p>
    <w:p w14:paraId="57809FB6"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P 1300 118 247 </w:t>
      </w:r>
    </w:p>
    <w:p w14:paraId="7C7BF82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W vcgs.org.au</w:t>
      </w:r>
    </w:p>
    <w:p w14:paraId="68AD89E5" w14:textId="77777777" w:rsidR="0057448F" w:rsidRDefault="0057448F" w:rsidP="00D64801">
      <w:pPr>
        <w:spacing w:line="276" w:lineRule="auto"/>
        <w:rPr>
          <w:rFonts w:ascii="Arial" w:hAnsi="Arial" w:cs="Arial"/>
          <w:b/>
          <w:bCs/>
          <w:sz w:val="20"/>
          <w:szCs w:val="20"/>
        </w:rPr>
      </w:pPr>
    </w:p>
    <w:p w14:paraId="3AEC1E14" w14:textId="22EC9219"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 xml:space="preserve">Newborn Hearing Screen - </w:t>
      </w:r>
    </w:p>
    <w:p w14:paraId="404A4820" w14:textId="77777777" w:rsidR="0057448F" w:rsidRDefault="0057448F" w:rsidP="00D64801">
      <w:pPr>
        <w:spacing w:line="276" w:lineRule="auto"/>
        <w:rPr>
          <w:rFonts w:ascii="Arial" w:hAnsi="Arial" w:cs="Arial"/>
          <w:sz w:val="20"/>
          <w:szCs w:val="20"/>
        </w:rPr>
      </w:pPr>
    </w:p>
    <w:p w14:paraId="0F4AAF5F" w14:textId="13CD267D"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It is not uncommon for babies to not pass their first screening test. Babies that are unsettled at the time of screening, or have a temporary blockage in the ears (for example fluid) may not receive a passing result from their first examination.  Parents should be reassured this is not a sign for concern at this point, and that their baby will be rescreened in a few </w:t>
      </w:r>
      <w:r w:rsidR="007A209E" w:rsidRPr="00BA1B7B">
        <w:rPr>
          <w:rFonts w:ascii="Arial" w:hAnsi="Arial" w:cs="Arial"/>
          <w:sz w:val="20"/>
          <w:szCs w:val="20"/>
        </w:rPr>
        <w:t>days’ time</w:t>
      </w:r>
      <w:r w:rsidRPr="00BA1B7B">
        <w:rPr>
          <w:rFonts w:ascii="Arial" w:hAnsi="Arial" w:cs="Arial"/>
          <w:sz w:val="20"/>
          <w:szCs w:val="20"/>
        </w:rPr>
        <w:t>. A baby is discharged home from the hospital prior to a re-screen or without screening at all</w:t>
      </w:r>
      <w:r w:rsidR="007A209E" w:rsidRPr="00BA1B7B">
        <w:rPr>
          <w:rFonts w:ascii="Arial" w:hAnsi="Arial" w:cs="Arial"/>
          <w:sz w:val="20"/>
          <w:szCs w:val="20"/>
        </w:rPr>
        <w:t>, VIHSP</w:t>
      </w:r>
      <w:r w:rsidRPr="00BA1B7B">
        <w:rPr>
          <w:rFonts w:ascii="Arial" w:hAnsi="Arial" w:cs="Arial"/>
          <w:sz w:val="20"/>
          <w:szCs w:val="20"/>
        </w:rPr>
        <w:t xml:space="preserve"> will contact the family to organize a time for the baby to be brought back to the hospital to be screened. </w:t>
      </w:r>
    </w:p>
    <w:p w14:paraId="3F369BA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If no contact has occurred from the VIHSP – parents are invited to contact VIHSP on ph: (03)</w:t>
      </w:r>
      <w:r w:rsidRPr="00BA1B7B">
        <w:rPr>
          <w:rFonts w:ascii="Arial" w:hAnsi="Arial" w:cs="Arial"/>
          <w:sz w:val="20"/>
          <w:szCs w:val="20"/>
          <w:shd w:val="clear" w:color="auto" w:fill="FFFFFF"/>
        </w:rPr>
        <w:t xml:space="preserve"> 9345 4941</w:t>
      </w:r>
      <w:r w:rsidRPr="00BA1B7B">
        <w:rPr>
          <w:rFonts w:ascii="Arial" w:hAnsi="Arial" w:cs="Arial"/>
          <w:sz w:val="20"/>
          <w:szCs w:val="20"/>
        </w:rPr>
        <w:t xml:space="preserve"> to organize an appointment. </w:t>
      </w:r>
    </w:p>
    <w:p w14:paraId="2CFDAB09"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If an anomaly in hearing is noticed, parents will be advised by the VIHSP clinicians of the ongoing process and provide them with referrals for additional testing and the appropriate audiology services if required. </w:t>
      </w:r>
    </w:p>
    <w:p w14:paraId="1A97448D" w14:textId="77777777" w:rsidR="00D64801" w:rsidRPr="00BA1B7B" w:rsidRDefault="00D64801" w:rsidP="00D64801">
      <w:pPr>
        <w:spacing w:line="276" w:lineRule="auto"/>
        <w:rPr>
          <w:rFonts w:ascii="Arial" w:hAnsi="Arial" w:cs="Arial"/>
          <w:sz w:val="20"/>
          <w:szCs w:val="20"/>
          <w:u w:val="single"/>
        </w:rPr>
      </w:pPr>
      <w:r w:rsidRPr="00BA1B7B">
        <w:rPr>
          <w:rFonts w:ascii="Arial" w:hAnsi="Arial" w:cs="Arial"/>
          <w:sz w:val="20"/>
          <w:szCs w:val="20"/>
          <w:u w:val="single"/>
        </w:rPr>
        <w:t>VIHSP Contact Details</w:t>
      </w:r>
    </w:p>
    <w:p w14:paraId="382D8541" w14:textId="77777777" w:rsidR="00D64801" w:rsidRPr="00BA1B7B" w:rsidRDefault="00D64801" w:rsidP="00D64801">
      <w:pPr>
        <w:shd w:val="clear" w:color="auto" w:fill="FFFFFF"/>
        <w:spacing w:after="135" w:line="276" w:lineRule="auto"/>
        <w:rPr>
          <w:rFonts w:ascii="Arial" w:eastAsia="Times New Roman" w:hAnsi="Arial" w:cs="Arial"/>
          <w:sz w:val="20"/>
          <w:szCs w:val="20"/>
          <w:lang w:eastAsia="en-AU"/>
        </w:rPr>
      </w:pPr>
      <w:r w:rsidRPr="00BA1B7B">
        <w:rPr>
          <w:rFonts w:ascii="Arial" w:eastAsia="Times New Roman" w:hAnsi="Arial" w:cs="Arial"/>
          <w:sz w:val="20"/>
          <w:szCs w:val="20"/>
          <w:lang w:eastAsia="en-AU"/>
        </w:rPr>
        <w:t>Centre for Community Child Health</w:t>
      </w:r>
      <w:r w:rsidRPr="00BA1B7B">
        <w:rPr>
          <w:rFonts w:ascii="Arial" w:eastAsia="Times New Roman" w:hAnsi="Arial" w:cs="Arial"/>
          <w:sz w:val="20"/>
          <w:szCs w:val="20"/>
          <w:lang w:eastAsia="en-AU"/>
        </w:rPr>
        <w:br/>
        <w:t>The Royal Children's Hospital</w:t>
      </w:r>
      <w:r w:rsidRPr="00BA1B7B">
        <w:rPr>
          <w:rFonts w:ascii="Arial" w:eastAsia="Times New Roman" w:hAnsi="Arial" w:cs="Arial"/>
          <w:sz w:val="20"/>
          <w:szCs w:val="20"/>
          <w:lang w:eastAsia="en-AU"/>
        </w:rPr>
        <w:br/>
        <w:t>Flemington Road</w:t>
      </w:r>
      <w:r w:rsidRPr="00BA1B7B">
        <w:rPr>
          <w:rFonts w:ascii="Arial" w:eastAsia="Times New Roman" w:hAnsi="Arial" w:cs="Arial"/>
          <w:sz w:val="20"/>
          <w:szCs w:val="20"/>
          <w:lang w:eastAsia="en-AU"/>
        </w:rPr>
        <w:br/>
        <w:t>Parkville, Victoria 3052</w:t>
      </w:r>
    </w:p>
    <w:p w14:paraId="455DD2A6" w14:textId="77777777" w:rsidR="00D64801" w:rsidRPr="00BA1B7B" w:rsidRDefault="00D64801" w:rsidP="00D64801">
      <w:pPr>
        <w:shd w:val="clear" w:color="auto" w:fill="FFFFFF"/>
        <w:spacing w:after="135" w:line="276" w:lineRule="auto"/>
        <w:rPr>
          <w:rFonts w:ascii="Arial" w:eastAsia="Times New Roman" w:hAnsi="Arial" w:cs="Arial"/>
          <w:sz w:val="20"/>
          <w:szCs w:val="20"/>
          <w:lang w:eastAsia="en-AU"/>
        </w:rPr>
      </w:pPr>
      <w:r w:rsidRPr="00BA1B7B">
        <w:rPr>
          <w:rFonts w:ascii="Arial" w:eastAsia="Times New Roman" w:hAnsi="Arial" w:cs="Arial"/>
          <w:sz w:val="20"/>
          <w:szCs w:val="20"/>
          <w:lang w:eastAsia="en-AU"/>
        </w:rPr>
        <w:t>Ph: (03) 9345 4941</w:t>
      </w:r>
      <w:r w:rsidRPr="00BA1B7B">
        <w:rPr>
          <w:rFonts w:ascii="Arial" w:eastAsia="Times New Roman" w:hAnsi="Arial" w:cs="Arial"/>
          <w:sz w:val="20"/>
          <w:szCs w:val="20"/>
          <w:lang w:eastAsia="en-AU"/>
        </w:rPr>
        <w:br/>
        <w:t>Fax: (03) 9345 5049</w:t>
      </w:r>
    </w:p>
    <w:p w14:paraId="3B670172" w14:textId="77777777" w:rsidR="00D64801" w:rsidRPr="00BA1B7B" w:rsidRDefault="00D64801" w:rsidP="00D64801">
      <w:pPr>
        <w:shd w:val="clear" w:color="auto" w:fill="FFFFFF"/>
        <w:spacing w:after="135" w:line="276" w:lineRule="auto"/>
        <w:rPr>
          <w:rFonts w:ascii="Arial" w:eastAsia="Times New Roman" w:hAnsi="Arial" w:cs="Arial"/>
          <w:sz w:val="20"/>
          <w:szCs w:val="20"/>
          <w:lang w:eastAsia="en-AU"/>
        </w:rPr>
      </w:pPr>
      <w:r w:rsidRPr="00BA1B7B">
        <w:rPr>
          <w:rFonts w:ascii="Arial" w:eastAsia="Times New Roman" w:hAnsi="Arial" w:cs="Arial"/>
          <w:sz w:val="20"/>
          <w:szCs w:val="20"/>
          <w:lang w:eastAsia="en-AU"/>
        </w:rPr>
        <w:t>Email: </w:t>
      </w:r>
      <w:hyperlink r:id="rId163" w:history="1">
        <w:r w:rsidRPr="00BA1B7B">
          <w:rPr>
            <w:rFonts w:ascii="Arial" w:eastAsia="Times New Roman" w:hAnsi="Arial" w:cs="Arial"/>
            <w:sz w:val="20"/>
            <w:szCs w:val="20"/>
            <w:u w:val="single"/>
            <w:lang w:eastAsia="en-AU"/>
          </w:rPr>
          <w:t>email.vihsp@rch.org.au</w:t>
        </w:r>
      </w:hyperlink>
      <w:r w:rsidRPr="00BA1B7B">
        <w:rPr>
          <w:rFonts w:ascii="Arial" w:eastAsia="Times New Roman" w:hAnsi="Arial" w:cs="Arial"/>
          <w:sz w:val="20"/>
          <w:szCs w:val="20"/>
          <w:lang w:eastAsia="en-AU"/>
        </w:rPr>
        <w:t xml:space="preserve">  OR </w:t>
      </w:r>
      <w:hyperlink r:id="rId164" w:history="1">
        <w:r w:rsidRPr="00BA1B7B">
          <w:rPr>
            <w:rStyle w:val="Hyperlink"/>
            <w:rFonts w:ascii="Arial" w:hAnsi="Arial" w:cs="Arial"/>
            <w:color w:val="auto"/>
            <w:sz w:val="20"/>
            <w:szCs w:val="20"/>
          </w:rPr>
          <w:t>https://www.rch.org.au/vihsp/contact_us/</w:t>
        </w:r>
      </w:hyperlink>
    </w:p>
    <w:p w14:paraId="0B757CC3" w14:textId="77777777" w:rsidR="002E0E20" w:rsidRPr="00BA1B7B" w:rsidRDefault="002E0E20" w:rsidP="00D64801">
      <w:pPr>
        <w:shd w:val="clear" w:color="auto" w:fill="FFFFFF"/>
        <w:spacing w:after="135" w:line="276" w:lineRule="auto"/>
        <w:rPr>
          <w:rFonts w:ascii="Arial" w:hAnsi="Arial" w:cs="Arial"/>
          <w:b/>
          <w:bCs/>
          <w:sz w:val="20"/>
          <w:szCs w:val="20"/>
        </w:rPr>
      </w:pPr>
    </w:p>
    <w:p w14:paraId="79AF55C4" w14:textId="332F1979" w:rsidR="00D64801" w:rsidRPr="00BA1B7B" w:rsidRDefault="00D64801" w:rsidP="002E0E20">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89" w:name="_Toc120614322"/>
      <w:r w:rsidRPr="00BA1B7B">
        <w:rPr>
          <w:rFonts w:ascii="Arial" w:eastAsia="Times New Roman" w:hAnsi="Arial" w:cs="Arial"/>
          <w:b/>
          <w:bCs/>
          <w:sz w:val="20"/>
          <w:szCs w:val="20"/>
          <w:lang w:eastAsia="en-AU"/>
        </w:rPr>
        <w:t>9.2 Extended P</w:t>
      </w:r>
      <w:r w:rsidR="002E0E20" w:rsidRPr="00BA1B7B">
        <w:rPr>
          <w:rFonts w:ascii="Arial" w:eastAsia="Times New Roman" w:hAnsi="Arial" w:cs="Arial"/>
          <w:b/>
          <w:bCs/>
          <w:sz w:val="20"/>
          <w:szCs w:val="20"/>
          <w:lang w:eastAsia="en-AU"/>
        </w:rPr>
        <w:t>ost-natal Care in the Community</w:t>
      </w:r>
      <w:bookmarkEnd w:id="89"/>
    </w:p>
    <w:p w14:paraId="567A3ADC"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Following discharge home from the hospital, all women will be offered at least one home visit from the Eastern Health extended Post-natal care (EPC) midwives within the first few days post discharge. Additional visits will be provided if deemed necessary by the EPC midwife. Eastern Health will also notify the local Maternal Child Health service at the time of discharge. The local maternal child health nurse will then undertake a home visit, and offer additional maternal health care support and services. </w:t>
      </w:r>
    </w:p>
    <w:p w14:paraId="2A30F11A" w14:textId="77777777" w:rsidR="00D64801" w:rsidRPr="00BA1B7B" w:rsidRDefault="00D64801" w:rsidP="00D64801">
      <w:pPr>
        <w:spacing w:line="276" w:lineRule="auto"/>
        <w:rPr>
          <w:rFonts w:ascii="Arial" w:hAnsi="Arial" w:cs="Arial"/>
          <w:sz w:val="20"/>
          <w:szCs w:val="20"/>
        </w:rPr>
      </w:pPr>
    </w:p>
    <w:p w14:paraId="329E2A7E"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Angliss Hospital Birth Suite:</w:t>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t>Box Hill Hospital Birth Suite:</w:t>
      </w:r>
    </w:p>
    <w:p w14:paraId="78D0F88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Ph: 9764 6310</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Ph: 9975 6364</w:t>
      </w:r>
    </w:p>
    <w:p w14:paraId="03DACA81" w14:textId="77777777" w:rsidR="00D64801" w:rsidRPr="00BA1B7B" w:rsidRDefault="00D64801" w:rsidP="00D64801">
      <w:pPr>
        <w:spacing w:line="276" w:lineRule="auto"/>
        <w:rPr>
          <w:rFonts w:ascii="Arial" w:hAnsi="Arial" w:cs="Arial"/>
          <w:sz w:val="20"/>
          <w:szCs w:val="20"/>
        </w:rPr>
      </w:pPr>
    </w:p>
    <w:p w14:paraId="7B9775BA"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Angliss Special Care Nursery:</w:t>
      </w:r>
      <w:r w:rsidRPr="00BA1B7B">
        <w:rPr>
          <w:rFonts w:ascii="Arial" w:hAnsi="Arial" w:cs="Arial"/>
          <w:b/>
          <w:bCs/>
          <w:sz w:val="20"/>
          <w:szCs w:val="20"/>
        </w:rPr>
        <w:tab/>
      </w:r>
      <w:r w:rsidRPr="00BA1B7B">
        <w:rPr>
          <w:rFonts w:ascii="Arial" w:hAnsi="Arial" w:cs="Arial"/>
          <w:b/>
          <w:bCs/>
          <w:sz w:val="20"/>
          <w:szCs w:val="20"/>
        </w:rPr>
        <w:tab/>
      </w:r>
      <w:r w:rsidRPr="00BA1B7B">
        <w:rPr>
          <w:rFonts w:ascii="Arial" w:hAnsi="Arial" w:cs="Arial"/>
          <w:b/>
          <w:bCs/>
          <w:sz w:val="20"/>
          <w:szCs w:val="20"/>
        </w:rPr>
        <w:tab/>
        <w:t>Box Hill Special Care Nursery:</w:t>
      </w:r>
    </w:p>
    <w:p w14:paraId="7C8C499E"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Ph: 9764 6307</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Ph: 9975 6347</w:t>
      </w:r>
    </w:p>
    <w:p w14:paraId="5D2AB477" w14:textId="63BF074A"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Angliss Extended Post Natal Care:</w:t>
      </w:r>
      <w:r w:rsidRPr="00BA1B7B">
        <w:rPr>
          <w:rFonts w:ascii="Arial" w:hAnsi="Arial" w:cs="Arial"/>
          <w:b/>
          <w:bCs/>
          <w:sz w:val="20"/>
          <w:szCs w:val="20"/>
        </w:rPr>
        <w:tab/>
      </w:r>
      <w:r w:rsidRPr="00BA1B7B">
        <w:rPr>
          <w:rFonts w:ascii="Arial" w:hAnsi="Arial" w:cs="Arial"/>
          <w:b/>
          <w:bCs/>
          <w:sz w:val="20"/>
          <w:szCs w:val="20"/>
        </w:rPr>
        <w:tab/>
        <w:t>Box Hill Extended Post Natal Care:</w:t>
      </w:r>
    </w:p>
    <w:p w14:paraId="4A5A0F9F"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Hours: 0730-1630</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Business Hours: 0730 - 1630</w:t>
      </w:r>
    </w:p>
    <w:p w14:paraId="7C16312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Monday through Sunday</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Monday through Sunday</w:t>
      </w:r>
    </w:p>
    <w:p w14:paraId="7A68C90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Ph: 9764 6322</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Ph: 8396 8347</w:t>
      </w:r>
    </w:p>
    <w:p w14:paraId="20F541B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Mobile: 0439 327 718</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 xml:space="preserve">            Mobile: 0467 722 677</w:t>
      </w:r>
    </w:p>
    <w:p w14:paraId="7BE64B5D" w14:textId="77777777" w:rsidR="00D64801" w:rsidRPr="00BA1B7B" w:rsidRDefault="00D64801" w:rsidP="00D64801">
      <w:pPr>
        <w:spacing w:line="276" w:lineRule="auto"/>
        <w:rPr>
          <w:rFonts w:ascii="Arial" w:hAnsi="Arial" w:cs="Arial"/>
          <w:sz w:val="20"/>
          <w:szCs w:val="20"/>
        </w:rPr>
      </w:pPr>
    </w:p>
    <w:p w14:paraId="4CE618BC" w14:textId="7838D0E0" w:rsidR="00D64801" w:rsidRDefault="00D64801" w:rsidP="00D64801">
      <w:pPr>
        <w:spacing w:line="276" w:lineRule="auto"/>
        <w:rPr>
          <w:rFonts w:ascii="Arial" w:hAnsi="Arial" w:cs="Arial"/>
          <w:b/>
          <w:bCs/>
          <w:sz w:val="20"/>
          <w:szCs w:val="20"/>
        </w:rPr>
      </w:pPr>
      <w:r w:rsidRPr="00BA1B7B">
        <w:rPr>
          <w:rFonts w:ascii="Arial" w:hAnsi="Arial" w:cs="Arial"/>
          <w:b/>
          <w:bCs/>
          <w:sz w:val="20"/>
          <w:szCs w:val="20"/>
        </w:rPr>
        <w:t xml:space="preserve">GPs referring women and babies back to Eastern Health in the Immediate Post-Partum Period </w:t>
      </w:r>
    </w:p>
    <w:p w14:paraId="36B22C4B" w14:textId="77777777" w:rsidR="0057448F" w:rsidRPr="00BA1B7B" w:rsidRDefault="0057448F" w:rsidP="00D64801">
      <w:pPr>
        <w:spacing w:line="276" w:lineRule="auto"/>
        <w:rPr>
          <w:rFonts w:ascii="Arial" w:hAnsi="Arial" w:cs="Arial"/>
          <w:b/>
          <w:bCs/>
          <w:sz w:val="20"/>
          <w:szCs w:val="20"/>
        </w:rPr>
      </w:pPr>
    </w:p>
    <w:p w14:paraId="324FB825"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Following consultation with stakeholders Eastern Health can now offer direct readmission to maternity services provided care is still being given by Extended Post-natal Care services</w:t>
      </w:r>
    </w:p>
    <w:p w14:paraId="375820BC"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If they require urgent review, please call the Birthing Suite of their birthing hospital or Special Care Nursery as appropriate and the women / baby will be seen through those units. </w:t>
      </w:r>
    </w:p>
    <w:p w14:paraId="4AEC961A"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Any woman or baby that requires review post discharge from Extended Post-natal Care service should be referred to the Hospital Emergency department where the appropriate triage will occur. </w:t>
      </w:r>
    </w:p>
    <w:p w14:paraId="71473A0F"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Please call Ambulance Victoria on 000 if concern or immediate review is required. </w:t>
      </w:r>
    </w:p>
    <w:p w14:paraId="548B50C0" w14:textId="77777777" w:rsidR="00D64801" w:rsidRPr="00BA1B7B" w:rsidRDefault="00D64801" w:rsidP="00D64801">
      <w:pPr>
        <w:spacing w:line="276" w:lineRule="auto"/>
        <w:rPr>
          <w:rFonts w:ascii="Arial" w:hAnsi="Arial" w:cs="Arial"/>
          <w:sz w:val="20"/>
          <w:szCs w:val="20"/>
        </w:rPr>
      </w:pPr>
    </w:p>
    <w:p w14:paraId="7FA5C6F7" w14:textId="20EC6734" w:rsidR="00D64801" w:rsidRPr="00BA1B7B" w:rsidRDefault="00D64801"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90" w:name="_Toc120614323"/>
      <w:r w:rsidRPr="00BA1B7B">
        <w:rPr>
          <w:rFonts w:ascii="Arial" w:eastAsia="Times New Roman" w:hAnsi="Arial" w:cs="Arial"/>
          <w:b/>
          <w:bCs/>
          <w:sz w:val="20"/>
          <w:szCs w:val="20"/>
          <w:lang w:eastAsia="en-AU"/>
        </w:rPr>
        <w:t>9.3 Lactation Services at Eastern Health</w:t>
      </w:r>
      <w:bookmarkEnd w:id="90"/>
    </w:p>
    <w:p w14:paraId="15CEDD2E" w14:textId="77777777" w:rsidR="00D64801" w:rsidRPr="00BA1B7B" w:rsidRDefault="00D64801" w:rsidP="00D64801">
      <w:pPr>
        <w:spacing w:line="276" w:lineRule="auto"/>
        <w:rPr>
          <w:rFonts w:ascii="Arial" w:hAnsi="Arial" w:cs="Arial"/>
          <w:sz w:val="20"/>
          <w:szCs w:val="20"/>
        </w:rPr>
      </w:pPr>
      <w:bookmarkStart w:id="91" w:name="_Hlk48811058"/>
      <w:r w:rsidRPr="00BA1B7B">
        <w:rPr>
          <w:rFonts w:ascii="Arial" w:hAnsi="Arial" w:cs="Arial"/>
          <w:sz w:val="20"/>
          <w:szCs w:val="20"/>
        </w:rPr>
        <w:t>Lactation consultants are available to all women that birth at Eastern Health. Eastern Health maternity services are committed to promoting, protecting and supporting breastfeeding. Lactation consultants at Eastern Health are all accredited members of the International Board of Lactation Consultants and are available for referral in the antenatal and early post-natal period.</w:t>
      </w:r>
    </w:p>
    <w:p w14:paraId="3C07F37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Ante-Nataly any woman that wishes extra support can be referred to the LSU service, if they have had a previous poor breastfeeding history, previous breast surgery or are gestational diabetics. These women can benefit greatly from meeting with the lactation consultants prior to birth to establish individualised plans, education and support from the lactation consultants. </w:t>
      </w:r>
    </w:p>
    <w:p w14:paraId="1814208E"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Women who are gestational diabetics are encouraged to see the lactation consultants at 36 weeks for advice and information on antenatal expressing of colostrum to assist with their baby’s blood sugar levels post birth. </w:t>
      </w:r>
    </w:p>
    <w:p w14:paraId="5731B8E2"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Whilst inpatients women have access to the lactation consultants on weekdays to assist with breastfeeding support, education and advice. </w:t>
      </w:r>
    </w:p>
    <w:p w14:paraId="298E930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Post-Nataly any woman that wishes extra support can be referred to the LSU. Common referrals are to assist with attachment and latching, Breast milk supply, engorgement, and mastitis concerns. The Lactation service at Eastern Health is happy to accept referrals from women up to 3 weeks post-partum, or 3 weeks post discharge of their baby home, whichever the latter is. </w:t>
      </w:r>
    </w:p>
    <w:p w14:paraId="5DAABCEB" w14:textId="12739D2A" w:rsidR="00D64801" w:rsidRDefault="00D64801" w:rsidP="00D64801">
      <w:pPr>
        <w:spacing w:line="276" w:lineRule="auto"/>
        <w:rPr>
          <w:rFonts w:ascii="Arial" w:hAnsi="Arial" w:cs="Arial"/>
          <w:sz w:val="20"/>
          <w:szCs w:val="20"/>
        </w:rPr>
      </w:pPr>
    </w:p>
    <w:p w14:paraId="78610C00" w14:textId="6A11FDB3" w:rsidR="0057448F" w:rsidRDefault="0057448F" w:rsidP="00D64801">
      <w:pPr>
        <w:spacing w:line="276" w:lineRule="auto"/>
        <w:rPr>
          <w:rFonts w:ascii="Arial" w:hAnsi="Arial" w:cs="Arial"/>
          <w:sz w:val="20"/>
          <w:szCs w:val="20"/>
        </w:rPr>
      </w:pPr>
    </w:p>
    <w:p w14:paraId="4F3EA141" w14:textId="6AF8DB06" w:rsidR="0057448F" w:rsidRDefault="0057448F" w:rsidP="00D64801">
      <w:pPr>
        <w:spacing w:line="276" w:lineRule="auto"/>
        <w:rPr>
          <w:rFonts w:ascii="Arial" w:hAnsi="Arial" w:cs="Arial"/>
          <w:sz w:val="20"/>
          <w:szCs w:val="20"/>
        </w:rPr>
      </w:pPr>
    </w:p>
    <w:p w14:paraId="67F7754E" w14:textId="471F0490" w:rsidR="0057448F" w:rsidRDefault="0057448F" w:rsidP="00D64801">
      <w:pPr>
        <w:spacing w:line="276" w:lineRule="auto"/>
        <w:rPr>
          <w:rFonts w:ascii="Arial" w:hAnsi="Arial" w:cs="Arial"/>
          <w:sz w:val="20"/>
          <w:szCs w:val="20"/>
        </w:rPr>
      </w:pPr>
    </w:p>
    <w:p w14:paraId="0BFEE47A" w14:textId="77777777" w:rsidR="0057448F" w:rsidRPr="00BA1B7B" w:rsidRDefault="0057448F" w:rsidP="00D64801">
      <w:pPr>
        <w:spacing w:line="276" w:lineRule="auto"/>
        <w:rPr>
          <w:rFonts w:ascii="Arial" w:hAnsi="Arial" w:cs="Arial"/>
          <w:sz w:val="20"/>
          <w:szCs w:val="20"/>
        </w:rPr>
      </w:pPr>
    </w:p>
    <w:p w14:paraId="7A1E739C"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Self-referrals can be made by contacting the following:</w:t>
      </w:r>
    </w:p>
    <w:tbl>
      <w:tblPr>
        <w:tblStyle w:val="TableGrid"/>
        <w:tblW w:w="0" w:type="auto"/>
        <w:tblLook w:val="04A0" w:firstRow="1" w:lastRow="0" w:firstColumn="1" w:lastColumn="0" w:noHBand="0" w:noVBand="1"/>
      </w:tblPr>
      <w:tblGrid>
        <w:gridCol w:w="2244"/>
        <w:gridCol w:w="2244"/>
        <w:gridCol w:w="2261"/>
        <w:gridCol w:w="2267"/>
      </w:tblGrid>
      <w:tr w:rsidR="00D64801" w:rsidRPr="00BA1B7B" w14:paraId="49A2C71E" w14:textId="77777777" w:rsidTr="00D64801">
        <w:tc>
          <w:tcPr>
            <w:tcW w:w="2310" w:type="dxa"/>
          </w:tcPr>
          <w:p w14:paraId="7D462B9E" w14:textId="77777777" w:rsidR="00D64801" w:rsidRPr="00BA1B7B" w:rsidRDefault="00D64801" w:rsidP="00D64801">
            <w:pPr>
              <w:spacing w:line="276" w:lineRule="auto"/>
              <w:rPr>
                <w:rFonts w:ascii="Arial" w:hAnsi="Arial" w:cs="Arial"/>
                <w:sz w:val="20"/>
                <w:szCs w:val="20"/>
              </w:rPr>
            </w:pPr>
          </w:p>
        </w:tc>
        <w:tc>
          <w:tcPr>
            <w:tcW w:w="2310" w:type="dxa"/>
          </w:tcPr>
          <w:p w14:paraId="080447A9"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Address</w:t>
            </w:r>
          </w:p>
        </w:tc>
        <w:tc>
          <w:tcPr>
            <w:tcW w:w="2311" w:type="dxa"/>
          </w:tcPr>
          <w:p w14:paraId="273DCA3B"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Phone</w:t>
            </w:r>
          </w:p>
        </w:tc>
        <w:tc>
          <w:tcPr>
            <w:tcW w:w="2311" w:type="dxa"/>
          </w:tcPr>
          <w:p w14:paraId="0883F6E1"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 xml:space="preserve">Appointment Days </w:t>
            </w:r>
          </w:p>
        </w:tc>
      </w:tr>
      <w:tr w:rsidR="00D64801" w:rsidRPr="00BA1B7B" w14:paraId="472C2E3B" w14:textId="77777777" w:rsidTr="00D64801">
        <w:tc>
          <w:tcPr>
            <w:tcW w:w="2310" w:type="dxa"/>
          </w:tcPr>
          <w:p w14:paraId="04BD9847"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Angliss Lactation Support Unit</w:t>
            </w:r>
          </w:p>
        </w:tc>
        <w:tc>
          <w:tcPr>
            <w:tcW w:w="2310" w:type="dxa"/>
          </w:tcPr>
          <w:p w14:paraId="78878F1E"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Room 2, Ward 3 East, Angliss Hospital, </w:t>
            </w:r>
          </w:p>
          <w:p w14:paraId="038A5C00"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Albert St, </w:t>
            </w:r>
          </w:p>
          <w:p w14:paraId="6DF8274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Upper Ferntree Gully</w:t>
            </w:r>
          </w:p>
        </w:tc>
        <w:tc>
          <w:tcPr>
            <w:tcW w:w="2311" w:type="dxa"/>
          </w:tcPr>
          <w:p w14:paraId="64074F8A"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9764 6309 </w:t>
            </w:r>
          </w:p>
          <w:p w14:paraId="07835A72" w14:textId="77777777" w:rsidR="00D64801" w:rsidRPr="00BA1B7B" w:rsidRDefault="00D64801" w:rsidP="00D64801">
            <w:pPr>
              <w:spacing w:line="276" w:lineRule="auto"/>
              <w:rPr>
                <w:rFonts w:ascii="Arial" w:hAnsi="Arial" w:cs="Arial"/>
                <w:sz w:val="20"/>
                <w:szCs w:val="20"/>
              </w:rPr>
            </w:pPr>
          </w:p>
          <w:p w14:paraId="55317DD0"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0466793431</w:t>
            </w:r>
          </w:p>
        </w:tc>
        <w:tc>
          <w:tcPr>
            <w:tcW w:w="2311" w:type="dxa"/>
          </w:tcPr>
          <w:p w14:paraId="66B4697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Monday</w:t>
            </w:r>
          </w:p>
          <w:p w14:paraId="323E7FA0"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Tuesday</w:t>
            </w:r>
          </w:p>
          <w:p w14:paraId="22B2F9F7"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Thursday</w:t>
            </w:r>
          </w:p>
        </w:tc>
      </w:tr>
      <w:tr w:rsidR="00D64801" w:rsidRPr="00BA1B7B" w14:paraId="64ACC6A0" w14:textId="77777777" w:rsidTr="00D64801">
        <w:tc>
          <w:tcPr>
            <w:tcW w:w="2310" w:type="dxa"/>
          </w:tcPr>
          <w:p w14:paraId="04F65B70"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Box Hill Lactation Support Unit</w:t>
            </w:r>
          </w:p>
        </w:tc>
        <w:tc>
          <w:tcPr>
            <w:tcW w:w="2310" w:type="dxa"/>
          </w:tcPr>
          <w:p w14:paraId="7A1E8E8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Room 3, Ward 3.1</w:t>
            </w:r>
          </w:p>
          <w:p w14:paraId="014EF61D"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Box Hill Hospital</w:t>
            </w:r>
          </w:p>
          <w:p w14:paraId="4D447001"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8 Arnold St,</w:t>
            </w:r>
          </w:p>
          <w:p w14:paraId="5589BC6A"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Box Hill</w:t>
            </w:r>
          </w:p>
        </w:tc>
        <w:tc>
          <w:tcPr>
            <w:tcW w:w="2311" w:type="dxa"/>
          </w:tcPr>
          <w:p w14:paraId="200E22F3"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8396 8385</w:t>
            </w:r>
          </w:p>
          <w:p w14:paraId="595F8218" w14:textId="77777777" w:rsidR="00D64801" w:rsidRPr="00BA1B7B" w:rsidRDefault="00D64801" w:rsidP="00D64801">
            <w:pPr>
              <w:spacing w:line="276" w:lineRule="auto"/>
              <w:rPr>
                <w:rFonts w:ascii="Arial" w:hAnsi="Arial" w:cs="Arial"/>
                <w:sz w:val="20"/>
                <w:szCs w:val="20"/>
              </w:rPr>
            </w:pPr>
          </w:p>
          <w:p w14:paraId="400EA6F0"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0400 262 695</w:t>
            </w:r>
          </w:p>
        </w:tc>
        <w:tc>
          <w:tcPr>
            <w:tcW w:w="2311" w:type="dxa"/>
          </w:tcPr>
          <w:p w14:paraId="0D272553"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Monday</w:t>
            </w:r>
          </w:p>
          <w:p w14:paraId="31CF965A"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Tuesday</w:t>
            </w:r>
          </w:p>
          <w:p w14:paraId="03C7D331"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Wednesday</w:t>
            </w:r>
          </w:p>
          <w:p w14:paraId="23FD9FC5"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Thursday</w:t>
            </w:r>
          </w:p>
          <w:p w14:paraId="53E71F68" w14:textId="77777777" w:rsidR="00D64801" w:rsidRPr="00BA1B7B" w:rsidRDefault="00D64801" w:rsidP="00D64801">
            <w:pPr>
              <w:spacing w:line="276" w:lineRule="auto"/>
              <w:rPr>
                <w:rFonts w:ascii="Arial" w:hAnsi="Arial" w:cs="Arial"/>
                <w:sz w:val="20"/>
                <w:szCs w:val="20"/>
              </w:rPr>
            </w:pPr>
          </w:p>
        </w:tc>
      </w:tr>
      <w:tr w:rsidR="00D64801" w:rsidRPr="00BA1B7B" w14:paraId="77133FEA" w14:textId="77777777" w:rsidTr="00D64801">
        <w:tc>
          <w:tcPr>
            <w:tcW w:w="2310" w:type="dxa"/>
          </w:tcPr>
          <w:p w14:paraId="534CCCE7"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lastRenderedPageBreak/>
              <w:t>Yarra Ranges Health Support Unit</w:t>
            </w:r>
          </w:p>
        </w:tc>
        <w:tc>
          <w:tcPr>
            <w:tcW w:w="2310" w:type="dxa"/>
          </w:tcPr>
          <w:p w14:paraId="445D9F85"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25 Market st,</w:t>
            </w:r>
          </w:p>
          <w:p w14:paraId="56BD96D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Lilydale </w:t>
            </w:r>
          </w:p>
        </w:tc>
        <w:tc>
          <w:tcPr>
            <w:tcW w:w="2311" w:type="dxa"/>
          </w:tcPr>
          <w:p w14:paraId="4250BB07"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8706 9601</w:t>
            </w:r>
          </w:p>
        </w:tc>
        <w:tc>
          <w:tcPr>
            <w:tcW w:w="2311" w:type="dxa"/>
          </w:tcPr>
          <w:p w14:paraId="2E23DE3A"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Wednesdays</w:t>
            </w:r>
          </w:p>
          <w:p w14:paraId="3111130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&amp; alternate Fridays</w:t>
            </w:r>
          </w:p>
        </w:tc>
      </w:tr>
    </w:tbl>
    <w:p w14:paraId="693D12D7" w14:textId="77777777" w:rsidR="0057448F" w:rsidRDefault="0057448F" w:rsidP="00D64801">
      <w:pPr>
        <w:spacing w:line="276" w:lineRule="auto"/>
        <w:rPr>
          <w:rFonts w:ascii="Arial" w:hAnsi="Arial" w:cs="Arial"/>
          <w:sz w:val="20"/>
          <w:szCs w:val="20"/>
        </w:rPr>
      </w:pPr>
    </w:p>
    <w:p w14:paraId="2F010F6F" w14:textId="084C113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After the initial 3-week period, Lactation services that can be referred to include;</w:t>
      </w:r>
    </w:p>
    <w:p w14:paraId="56B9E4D2"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Maternal Child Health Nurse - Most municipals offer a free lactation service to women residing in that area. Women are encouraged to speak to their MCHN or to contact their council to obtain specific contact details. </w:t>
      </w:r>
    </w:p>
    <w:p w14:paraId="348C41C7"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Australian Breastfeeding association (ABA) – support line 1800 686 268</w:t>
      </w:r>
    </w:p>
    <w:p w14:paraId="03C441F1" w14:textId="77777777" w:rsidR="00D64801" w:rsidRPr="00BA1B7B" w:rsidRDefault="00A97F97" w:rsidP="00D64801">
      <w:pPr>
        <w:spacing w:line="276" w:lineRule="auto"/>
        <w:rPr>
          <w:rFonts w:ascii="Arial" w:hAnsi="Arial" w:cs="Arial"/>
          <w:sz w:val="20"/>
          <w:szCs w:val="20"/>
        </w:rPr>
      </w:pPr>
      <w:hyperlink r:id="rId165" w:history="1">
        <w:r w:rsidR="00D64801" w:rsidRPr="00BA1B7B">
          <w:rPr>
            <w:rFonts w:ascii="Arial" w:hAnsi="Arial" w:cs="Arial"/>
            <w:sz w:val="20"/>
            <w:szCs w:val="20"/>
            <w:u w:val="single"/>
          </w:rPr>
          <w:t>https://www.breastfeeding.asn.au/</w:t>
        </w:r>
      </w:hyperlink>
    </w:p>
    <w:p w14:paraId="1B227B71"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Lactation Consultants Australia and New Zealand – Private lactation consultants </w:t>
      </w:r>
    </w:p>
    <w:p w14:paraId="14E65D12" w14:textId="77777777" w:rsidR="00D64801" w:rsidRPr="00BA1B7B" w:rsidRDefault="00A97F97" w:rsidP="00D64801">
      <w:pPr>
        <w:spacing w:line="276" w:lineRule="auto"/>
        <w:rPr>
          <w:rFonts w:ascii="Arial" w:hAnsi="Arial" w:cs="Arial"/>
          <w:sz w:val="20"/>
          <w:szCs w:val="20"/>
        </w:rPr>
      </w:pPr>
      <w:hyperlink r:id="rId166" w:history="1">
        <w:r w:rsidR="00D64801" w:rsidRPr="00BA1B7B">
          <w:rPr>
            <w:rFonts w:ascii="Arial" w:hAnsi="Arial" w:cs="Arial"/>
            <w:sz w:val="20"/>
            <w:szCs w:val="20"/>
            <w:u w:val="single"/>
          </w:rPr>
          <w:t>https://www.lcanz.org/</w:t>
        </w:r>
      </w:hyperlink>
    </w:p>
    <w:bookmarkEnd w:id="91"/>
    <w:p w14:paraId="648D25CC" w14:textId="77777777" w:rsidR="00D64801" w:rsidRPr="00BA1B7B" w:rsidRDefault="00D64801" w:rsidP="00D64801">
      <w:pPr>
        <w:spacing w:line="276" w:lineRule="auto"/>
        <w:rPr>
          <w:rFonts w:ascii="Arial" w:hAnsi="Arial" w:cs="Arial"/>
          <w:b/>
          <w:bCs/>
          <w:sz w:val="20"/>
          <w:szCs w:val="20"/>
        </w:rPr>
      </w:pPr>
    </w:p>
    <w:p w14:paraId="15EFEE09" w14:textId="327684BD" w:rsidR="00D64801" w:rsidRPr="00BA1B7B" w:rsidRDefault="00D64801"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92" w:name="_Toc120614324"/>
      <w:r w:rsidRPr="00BA1B7B">
        <w:rPr>
          <w:rFonts w:ascii="Arial" w:eastAsia="Times New Roman" w:hAnsi="Arial" w:cs="Arial"/>
          <w:b/>
          <w:bCs/>
          <w:sz w:val="20"/>
          <w:szCs w:val="20"/>
          <w:lang w:eastAsia="en-AU"/>
        </w:rPr>
        <w:t>9.4 Perineal Clinic Services at Eastern Health</w:t>
      </w:r>
      <w:bookmarkEnd w:id="92"/>
    </w:p>
    <w:p w14:paraId="308B8A77" w14:textId="77777777" w:rsidR="00D64801" w:rsidRPr="00BA1B7B" w:rsidRDefault="00D64801" w:rsidP="00D64801">
      <w:pPr>
        <w:spacing w:line="276" w:lineRule="auto"/>
        <w:rPr>
          <w:rFonts w:ascii="Arial" w:hAnsi="Arial" w:cs="Arial"/>
          <w:sz w:val="20"/>
          <w:szCs w:val="20"/>
        </w:rPr>
      </w:pPr>
      <w:bookmarkStart w:id="93" w:name="_Hlk48811017"/>
      <w:r w:rsidRPr="00BA1B7B">
        <w:rPr>
          <w:rFonts w:ascii="Arial" w:hAnsi="Arial" w:cs="Arial"/>
          <w:sz w:val="20"/>
          <w:szCs w:val="20"/>
        </w:rPr>
        <w:t xml:space="preserve">Eastern Health provides a perineal clinic service which is located at Box Hill Hospital for women in the post-partum period who have severe perineal trauma post-partum and for prenatal and antenatal women who have had previous severe trauma and require investigations and counselling in regards to subsequent pregnancy and birth options. </w:t>
      </w:r>
    </w:p>
    <w:p w14:paraId="744BBDBC"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The perineal clinic is a multidisciplinary clinic with an integrative approach to care with senior Obstetric and Colorectal Doctors, women’s health physios and midwives. </w:t>
      </w:r>
    </w:p>
    <w:p w14:paraId="18BAD294" w14:textId="77777777" w:rsidR="00D64801" w:rsidRPr="00BA1B7B" w:rsidRDefault="00D64801" w:rsidP="00D64801">
      <w:pPr>
        <w:spacing w:line="276" w:lineRule="auto"/>
        <w:rPr>
          <w:rFonts w:ascii="Arial" w:hAnsi="Arial" w:cs="Arial"/>
          <w:sz w:val="20"/>
          <w:szCs w:val="20"/>
        </w:rPr>
      </w:pPr>
    </w:p>
    <w:p w14:paraId="522D4637"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 xml:space="preserve">Hospital Based Management and Follow up of Third &amp; Fourth Degree tears occurring at Eastern Health </w:t>
      </w:r>
    </w:p>
    <w:p w14:paraId="2DEB8CA4" w14:textId="77777777" w:rsidR="00D64801" w:rsidRPr="00BA1B7B" w:rsidRDefault="00D64801" w:rsidP="00D64801">
      <w:pPr>
        <w:spacing w:line="276" w:lineRule="auto"/>
        <w:rPr>
          <w:rFonts w:ascii="Arial" w:hAnsi="Arial" w:cs="Arial"/>
          <w:b/>
          <w:bCs/>
          <w:sz w:val="20"/>
          <w:szCs w:val="20"/>
        </w:rPr>
      </w:pPr>
    </w:p>
    <w:p w14:paraId="407F2F31"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Any woman that sustains a third or fourth degree tear as a result of birth at Eastern Health is referred to the perineal clinic prior to discharge. These women will be invited to attend an appointment at Box Hill Hospital approximately 6-12 weeks post birth. Within this appointment women will see the women’s health physiotherapist who will assess pelvic floor integrity, urinary incontinence and prescribe ongoing management plans. The women also see a senior obstetric registrar or consultant who will assess the healing of the perineal tissue, provide/prescribe additional medical treatment if required and debrief the birth experience. Following this initial appointment if women require additional review, this will be organized with the clinicians. The women are also placed on a waitlist for the option to be seen 6-12 months post-partum by the Colorectal team who will assess sphincter integrity, scar tissue and healing through endoanal ultrasounds and manometry testing. </w:t>
      </w:r>
    </w:p>
    <w:p w14:paraId="6A424CCE" w14:textId="77777777" w:rsidR="00D64801" w:rsidRPr="00BA1B7B" w:rsidRDefault="00D64801" w:rsidP="00D64801">
      <w:pPr>
        <w:spacing w:line="276" w:lineRule="auto"/>
        <w:rPr>
          <w:rFonts w:ascii="Arial" w:hAnsi="Arial" w:cs="Arial"/>
          <w:sz w:val="20"/>
          <w:szCs w:val="20"/>
        </w:rPr>
      </w:pPr>
    </w:p>
    <w:p w14:paraId="0C896B28" w14:textId="77777777" w:rsidR="00D64801" w:rsidRPr="00BA1B7B" w:rsidRDefault="00D64801" w:rsidP="00D64801">
      <w:pPr>
        <w:spacing w:line="276" w:lineRule="auto"/>
        <w:rPr>
          <w:rFonts w:ascii="Arial" w:hAnsi="Arial" w:cs="Arial"/>
          <w:b/>
          <w:bCs/>
          <w:sz w:val="20"/>
          <w:szCs w:val="20"/>
        </w:rPr>
      </w:pPr>
      <w:r w:rsidRPr="00BA1B7B">
        <w:rPr>
          <w:rFonts w:ascii="Arial" w:hAnsi="Arial" w:cs="Arial"/>
          <w:b/>
          <w:bCs/>
          <w:sz w:val="20"/>
          <w:szCs w:val="20"/>
        </w:rPr>
        <w:t xml:space="preserve">Perineal Clinic </w:t>
      </w:r>
    </w:p>
    <w:p w14:paraId="0EE09BBA"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In the Antenatal period referral can be made by contacting the perineal clinic;</w:t>
      </w:r>
    </w:p>
    <w:p w14:paraId="59C2D8E7"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Specialist Clinics, Level 3, Building-A</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 xml:space="preserve">Alternate Mondays </w:t>
      </w:r>
    </w:p>
    <w:p w14:paraId="230807D0"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Box Hill Hospital</w:t>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r>
      <w:r w:rsidRPr="00BA1B7B">
        <w:rPr>
          <w:rFonts w:ascii="Arial" w:hAnsi="Arial" w:cs="Arial"/>
          <w:sz w:val="20"/>
          <w:szCs w:val="20"/>
        </w:rPr>
        <w:tab/>
        <w:t>0900hrs – 1300hrs</w:t>
      </w:r>
    </w:p>
    <w:p w14:paraId="06206DA3"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8 Arnold St, Box Hill.</w:t>
      </w:r>
    </w:p>
    <w:p w14:paraId="251ACD19" w14:textId="77777777" w:rsidR="00D64801" w:rsidRPr="00BA1B7B" w:rsidRDefault="00D64801" w:rsidP="00D64801">
      <w:pPr>
        <w:spacing w:line="276" w:lineRule="auto"/>
        <w:rPr>
          <w:rFonts w:ascii="Arial" w:hAnsi="Arial" w:cs="Arial"/>
          <w:sz w:val="20"/>
          <w:szCs w:val="20"/>
        </w:rPr>
      </w:pPr>
    </w:p>
    <w:p w14:paraId="103B0B7B"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The following form can be downloaded and completed for referral to the Perineal Clinic:</w:t>
      </w:r>
    </w:p>
    <w:p w14:paraId="44342787" w14:textId="77777777" w:rsidR="00D64801" w:rsidRPr="00BA1B7B" w:rsidRDefault="00D64801" w:rsidP="00D64801">
      <w:pPr>
        <w:spacing w:line="276" w:lineRule="auto"/>
        <w:rPr>
          <w:rFonts w:ascii="Arial" w:hAnsi="Arial" w:cs="Arial"/>
          <w:sz w:val="20"/>
          <w:szCs w:val="20"/>
          <w:u w:val="single"/>
        </w:rPr>
      </w:pPr>
      <w:r w:rsidRPr="00BA1B7B">
        <w:rPr>
          <w:rFonts w:ascii="Arial" w:hAnsi="Arial" w:cs="Arial"/>
          <w:b/>
          <w:bCs/>
          <w:sz w:val="20"/>
          <w:szCs w:val="20"/>
        </w:rPr>
        <w:lastRenderedPageBreak/>
        <w:t>Referral Form</w:t>
      </w:r>
      <w:r w:rsidRPr="00BA1B7B">
        <w:rPr>
          <w:rFonts w:ascii="Arial" w:hAnsi="Arial" w:cs="Arial"/>
          <w:sz w:val="20"/>
          <w:szCs w:val="20"/>
        </w:rPr>
        <w:t xml:space="preserve">: </w:t>
      </w:r>
      <w:hyperlink r:id="rId167" w:history="1">
        <w:r w:rsidRPr="00BA1B7B">
          <w:rPr>
            <w:rStyle w:val="Hyperlink"/>
            <w:rFonts w:ascii="Arial" w:hAnsi="Arial" w:cs="Arial"/>
            <w:color w:val="auto"/>
            <w:sz w:val="20"/>
            <w:szCs w:val="20"/>
          </w:rPr>
          <w:t>https://www.easternhealth.org.au/images/services/obstet_and_mat_isobar.pdf</w:t>
        </w:r>
      </w:hyperlink>
    </w:p>
    <w:p w14:paraId="1FDD4893"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Completed forms can be sent via</w:t>
      </w:r>
    </w:p>
    <w:p w14:paraId="3E3B8AA3"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Fax – (03) 9895 4644</w:t>
      </w:r>
    </w:p>
    <w:p w14:paraId="0D42628A" w14:textId="77777777" w:rsidR="00D64801" w:rsidRPr="00BA1B7B" w:rsidRDefault="00D64801" w:rsidP="00D64801">
      <w:pPr>
        <w:spacing w:line="276" w:lineRule="auto"/>
        <w:rPr>
          <w:rFonts w:ascii="Arial" w:hAnsi="Arial" w:cs="Arial"/>
          <w:sz w:val="20"/>
          <w:szCs w:val="20"/>
        </w:rPr>
      </w:pPr>
    </w:p>
    <w:p w14:paraId="46CAFB02"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 In the antenatal period; any woman that has had severe previous perineal trauma (3</w:t>
      </w:r>
      <w:r w:rsidRPr="00BA1B7B">
        <w:rPr>
          <w:rFonts w:ascii="Arial" w:hAnsi="Arial" w:cs="Arial"/>
          <w:sz w:val="20"/>
          <w:szCs w:val="20"/>
          <w:vertAlign w:val="superscript"/>
        </w:rPr>
        <w:t>rd</w:t>
      </w:r>
      <w:r w:rsidRPr="00BA1B7B">
        <w:rPr>
          <w:rFonts w:ascii="Arial" w:hAnsi="Arial" w:cs="Arial"/>
          <w:sz w:val="20"/>
          <w:szCs w:val="20"/>
        </w:rPr>
        <w:t xml:space="preserve"> or 4</w:t>
      </w:r>
      <w:r w:rsidRPr="00BA1B7B">
        <w:rPr>
          <w:rFonts w:ascii="Arial" w:hAnsi="Arial" w:cs="Arial"/>
          <w:sz w:val="20"/>
          <w:szCs w:val="20"/>
          <w:vertAlign w:val="superscript"/>
        </w:rPr>
        <w:t>th</w:t>
      </w:r>
      <w:r w:rsidRPr="00BA1B7B">
        <w:rPr>
          <w:rFonts w:ascii="Arial" w:hAnsi="Arial" w:cs="Arial"/>
          <w:sz w:val="20"/>
          <w:szCs w:val="20"/>
        </w:rPr>
        <w:t xml:space="preserve"> degrees) regardless of previous birth location should be referred to the perineal clinic. This appointment allows counselling to occur in regards to birthing options, and women have the option of seeing the colorectal doctors for an Endoanal ultrasound to assist in the decision-making process. </w:t>
      </w:r>
    </w:p>
    <w:p w14:paraId="740C6260" w14:textId="77777777" w:rsidR="00D64801" w:rsidRPr="00BA1B7B" w:rsidRDefault="00D64801" w:rsidP="00D64801">
      <w:pPr>
        <w:pStyle w:val="ListParagraph"/>
        <w:spacing w:line="276" w:lineRule="auto"/>
        <w:rPr>
          <w:rFonts w:ascii="Arial" w:hAnsi="Arial" w:cs="Arial"/>
          <w:sz w:val="20"/>
          <w:szCs w:val="20"/>
        </w:rPr>
      </w:pPr>
    </w:p>
    <w:p w14:paraId="1A26F73C" w14:textId="77777777" w:rsidR="00D64801" w:rsidRPr="00BA1B7B" w:rsidRDefault="00D64801" w:rsidP="004A22FD">
      <w:pPr>
        <w:pStyle w:val="ListParagraph"/>
        <w:numPr>
          <w:ilvl w:val="0"/>
          <w:numId w:val="51"/>
        </w:numPr>
        <w:spacing w:line="276" w:lineRule="auto"/>
        <w:rPr>
          <w:rFonts w:ascii="Arial" w:hAnsi="Arial" w:cs="Arial"/>
          <w:sz w:val="20"/>
          <w:szCs w:val="20"/>
        </w:rPr>
      </w:pPr>
      <w:r w:rsidRPr="00BA1B7B">
        <w:rPr>
          <w:rFonts w:ascii="Arial" w:hAnsi="Arial" w:cs="Arial"/>
          <w:sz w:val="20"/>
          <w:szCs w:val="20"/>
        </w:rPr>
        <w:t xml:space="preserve">Any woman that has female genital mutilation should be referred to the perineal clinic for review and counselling by an obstetric consultant. </w:t>
      </w:r>
    </w:p>
    <w:p w14:paraId="63E78419" w14:textId="77777777" w:rsidR="00D64801" w:rsidRPr="00BA1B7B" w:rsidRDefault="00D64801" w:rsidP="004A22FD">
      <w:pPr>
        <w:pStyle w:val="ListParagraph"/>
        <w:numPr>
          <w:ilvl w:val="0"/>
          <w:numId w:val="51"/>
        </w:numPr>
        <w:spacing w:line="276" w:lineRule="auto"/>
        <w:rPr>
          <w:rFonts w:ascii="Arial" w:hAnsi="Arial" w:cs="Arial"/>
          <w:sz w:val="20"/>
          <w:szCs w:val="20"/>
        </w:rPr>
      </w:pPr>
      <w:r w:rsidRPr="00BA1B7B">
        <w:rPr>
          <w:rFonts w:ascii="Arial" w:hAnsi="Arial" w:cs="Arial"/>
          <w:sz w:val="20"/>
          <w:szCs w:val="20"/>
        </w:rPr>
        <w:t>Any multiparous woman that is suffering from flatal or faecal incontinence that has resulted from her previous birth</w:t>
      </w:r>
    </w:p>
    <w:p w14:paraId="43C3A1FA"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In the Immediate Post Natal Period – </w:t>
      </w:r>
    </w:p>
    <w:p w14:paraId="4329C711"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Any woman that is within the initial 6-8 weeks post-partum period following a birth at Eastern Health can be referred to the clinic when further review or assistance is required in the management of perineal trauma. </w:t>
      </w:r>
    </w:p>
    <w:p w14:paraId="34C6A973" w14:textId="77777777" w:rsidR="00D64801" w:rsidRPr="00BA1B7B" w:rsidRDefault="00D64801" w:rsidP="004A22FD">
      <w:pPr>
        <w:pStyle w:val="ListParagraph"/>
        <w:numPr>
          <w:ilvl w:val="0"/>
          <w:numId w:val="52"/>
        </w:numPr>
        <w:spacing w:line="276" w:lineRule="auto"/>
        <w:rPr>
          <w:rFonts w:ascii="Arial" w:hAnsi="Arial" w:cs="Arial"/>
          <w:sz w:val="20"/>
          <w:szCs w:val="20"/>
        </w:rPr>
      </w:pPr>
      <w:r w:rsidRPr="00BA1B7B">
        <w:rPr>
          <w:rFonts w:ascii="Arial" w:hAnsi="Arial" w:cs="Arial"/>
          <w:sz w:val="20"/>
          <w:szCs w:val="20"/>
        </w:rPr>
        <w:t xml:space="preserve">Wound dehiscence or breakdown (if there is imminent concern, these women should be referred to the Birthing Suite or Emergency Department as the clinic is not suitable for acute patients). </w:t>
      </w:r>
    </w:p>
    <w:p w14:paraId="445F6530" w14:textId="77777777" w:rsidR="00D64801" w:rsidRPr="00BA1B7B" w:rsidRDefault="00D64801" w:rsidP="004A22FD">
      <w:pPr>
        <w:pStyle w:val="ListParagraph"/>
        <w:numPr>
          <w:ilvl w:val="0"/>
          <w:numId w:val="52"/>
        </w:numPr>
        <w:spacing w:line="276" w:lineRule="auto"/>
        <w:rPr>
          <w:rFonts w:ascii="Arial" w:hAnsi="Arial" w:cs="Arial"/>
          <w:sz w:val="20"/>
          <w:szCs w:val="20"/>
        </w:rPr>
      </w:pPr>
      <w:r w:rsidRPr="00BA1B7B">
        <w:rPr>
          <w:rFonts w:ascii="Arial" w:hAnsi="Arial" w:cs="Arial"/>
          <w:sz w:val="20"/>
          <w:szCs w:val="20"/>
        </w:rPr>
        <w:t>Dyspareunia</w:t>
      </w:r>
    </w:p>
    <w:p w14:paraId="1AB9B60F" w14:textId="77777777" w:rsidR="00D64801" w:rsidRPr="00BA1B7B" w:rsidRDefault="00D64801" w:rsidP="004A22FD">
      <w:pPr>
        <w:pStyle w:val="ListParagraph"/>
        <w:numPr>
          <w:ilvl w:val="0"/>
          <w:numId w:val="52"/>
        </w:numPr>
        <w:spacing w:line="276" w:lineRule="auto"/>
        <w:rPr>
          <w:rFonts w:ascii="Arial" w:hAnsi="Arial" w:cs="Arial"/>
          <w:sz w:val="20"/>
          <w:szCs w:val="20"/>
        </w:rPr>
      </w:pPr>
      <w:r w:rsidRPr="00BA1B7B">
        <w:rPr>
          <w:rFonts w:ascii="Arial" w:hAnsi="Arial" w:cs="Arial"/>
          <w:sz w:val="20"/>
          <w:szCs w:val="20"/>
        </w:rPr>
        <w:t>Faecal or Flatal incontinence</w:t>
      </w:r>
      <w:bookmarkEnd w:id="93"/>
    </w:p>
    <w:p w14:paraId="618A2C32" w14:textId="5CA4C4D6" w:rsidR="00D64801" w:rsidRPr="00BA1B7B" w:rsidRDefault="00D64801"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94" w:name="_Hlk48826523"/>
      <w:r w:rsidRPr="00BA1B7B">
        <w:rPr>
          <w:rFonts w:ascii="Arial" w:eastAsia="Times New Roman" w:hAnsi="Arial" w:cs="Arial"/>
          <w:b/>
          <w:bCs/>
          <w:sz w:val="20"/>
          <w:szCs w:val="20"/>
          <w:lang w:eastAsia="en-AU"/>
        </w:rPr>
        <w:t xml:space="preserve"> </w:t>
      </w:r>
      <w:bookmarkStart w:id="95" w:name="_Toc120614325"/>
      <w:r w:rsidRPr="00BA1B7B">
        <w:rPr>
          <w:rFonts w:ascii="Arial" w:eastAsia="Times New Roman" w:hAnsi="Arial" w:cs="Arial"/>
          <w:b/>
          <w:bCs/>
          <w:sz w:val="20"/>
          <w:szCs w:val="20"/>
          <w:lang w:eastAsia="en-AU"/>
        </w:rPr>
        <w:t>9.5 6</w:t>
      </w:r>
      <w:r w:rsidR="002E0E20" w:rsidRPr="00BA1B7B">
        <w:rPr>
          <w:rFonts w:ascii="Arial" w:eastAsia="Times New Roman" w:hAnsi="Arial" w:cs="Arial"/>
          <w:b/>
          <w:bCs/>
          <w:sz w:val="20"/>
          <w:szCs w:val="20"/>
          <w:lang w:eastAsia="en-AU"/>
        </w:rPr>
        <w:t>-</w:t>
      </w:r>
      <w:r w:rsidRPr="00BA1B7B">
        <w:rPr>
          <w:rFonts w:ascii="Arial" w:eastAsia="Times New Roman" w:hAnsi="Arial" w:cs="Arial"/>
          <w:b/>
          <w:bCs/>
          <w:sz w:val="20"/>
          <w:szCs w:val="20"/>
          <w:lang w:eastAsia="en-AU"/>
        </w:rPr>
        <w:t>week Post Natal Check for Mother and Baby</w:t>
      </w:r>
      <w:bookmarkEnd w:id="95"/>
    </w:p>
    <w:p w14:paraId="0CCE76B3"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Following birth, all women are encouraged by Eastern Health upon discharge to book an appointment with their own GP for a 6-week post birth review for themselves and their baby. </w:t>
      </w:r>
    </w:p>
    <w:p w14:paraId="67AC602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The women are provided with a copy of their birthing summary to bring along to this GP appointment to be added to their own personal medical history. </w:t>
      </w:r>
    </w:p>
    <w:p w14:paraId="5AF1C209"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 xml:space="preserve">This appointment is an opportunity for GPs to perform a physical and emotional wellbeing check on mothers, address any concerns following on from pregnancy and birth and perform a physical wellbeing check on the baby assessing weight gain, developmental concerns and discuss immunizations as recommend by the national immunization schedule. </w:t>
      </w:r>
    </w:p>
    <w:p w14:paraId="07ADB581"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Physical assessment of the mother</w:t>
      </w:r>
    </w:p>
    <w:p w14:paraId="2E18CE5C" w14:textId="77777777" w:rsidR="00D64801" w:rsidRPr="00BA1B7B" w:rsidRDefault="00D64801" w:rsidP="004A22FD">
      <w:pPr>
        <w:pStyle w:val="ListParagraph"/>
        <w:numPr>
          <w:ilvl w:val="0"/>
          <w:numId w:val="53"/>
        </w:numPr>
        <w:spacing w:line="276" w:lineRule="auto"/>
        <w:rPr>
          <w:rFonts w:ascii="Arial" w:hAnsi="Arial" w:cs="Arial"/>
          <w:sz w:val="20"/>
          <w:szCs w:val="20"/>
        </w:rPr>
      </w:pPr>
      <w:r w:rsidRPr="00BA1B7B">
        <w:rPr>
          <w:rFonts w:ascii="Arial" w:hAnsi="Arial" w:cs="Arial"/>
          <w:sz w:val="20"/>
          <w:szCs w:val="20"/>
        </w:rPr>
        <w:t>Assess wounds and healing (perineal or abdominal stitches)</w:t>
      </w:r>
    </w:p>
    <w:p w14:paraId="08B1779E" w14:textId="77777777" w:rsidR="00D64801" w:rsidRPr="00BA1B7B" w:rsidRDefault="00D64801" w:rsidP="004A22FD">
      <w:pPr>
        <w:pStyle w:val="ListParagraph"/>
        <w:numPr>
          <w:ilvl w:val="0"/>
          <w:numId w:val="53"/>
        </w:numPr>
        <w:spacing w:line="276" w:lineRule="auto"/>
        <w:rPr>
          <w:rFonts w:ascii="Arial" w:hAnsi="Arial" w:cs="Arial"/>
          <w:sz w:val="20"/>
          <w:szCs w:val="20"/>
        </w:rPr>
      </w:pPr>
      <w:r w:rsidRPr="00BA1B7B">
        <w:rPr>
          <w:rFonts w:ascii="Arial" w:hAnsi="Arial" w:cs="Arial"/>
          <w:sz w:val="20"/>
          <w:szCs w:val="20"/>
        </w:rPr>
        <w:t>Ask about urinary and faecal incontinence – consider women’s health physio referral or perineal clinic referral if ongoing concerns</w:t>
      </w:r>
    </w:p>
    <w:p w14:paraId="1B4693DC" w14:textId="77777777" w:rsidR="00D64801" w:rsidRPr="00BA1B7B" w:rsidRDefault="00D64801" w:rsidP="004A22FD">
      <w:pPr>
        <w:pStyle w:val="ListParagraph"/>
        <w:numPr>
          <w:ilvl w:val="0"/>
          <w:numId w:val="53"/>
        </w:numPr>
        <w:spacing w:line="276" w:lineRule="auto"/>
        <w:rPr>
          <w:rFonts w:ascii="Arial" w:hAnsi="Arial" w:cs="Arial"/>
          <w:sz w:val="20"/>
          <w:szCs w:val="20"/>
        </w:rPr>
      </w:pPr>
      <w:r w:rsidRPr="00BA1B7B">
        <w:rPr>
          <w:rFonts w:ascii="Arial" w:hAnsi="Arial" w:cs="Arial"/>
          <w:sz w:val="20"/>
          <w:szCs w:val="20"/>
        </w:rPr>
        <w:t>Ask about perineal symptoms – Dyspareunia and PV loss</w:t>
      </w:r>
    </w:p>
    <w:p w14:paraId="7DA31FE2" w14:textId="77777777" w:rsidR="00D64801" w:rsidRPr="00BA1B7B" w:rsidRDefault="00D64801" w:rsidP="004A22FD">
      <w:pPr>
        <w:pStyle w:val="ListParagraph"/>
        <w:numPr>
          <w:ilvl w:val="0"/>
          <w:numId w:val="53"/>
        </w:numPr>
        <w:spacing w:line="276" w:lineRule="auto"/>
        <w:rPr>
          <w:rFonts w:ascii="Arial" w:hAnsi="Arial" w:cs="Arial"/>
          <w:sz w:val="20"/>
          <w:szCs w:val="20"/>
        </w:rPr>
      </w:pPr>
      <w:r w:rsidRPr="00BA1B7B">
        <w:rPr>
          <w:rFonts w:ascii="Arial" w:hAnsi="Arial" w:cs="Arial"/>
          <w:sz w:val="20"/>
          <w:szCs w:val="20"/>
        </w:rPr>
        <w:t>Blood pressure – following up pregnancy complications (hypertension, pre-eclampsia).</w:t>
      </w:r>
    </w:p>
    <w:p w14:paraId="760B0D72"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Investigations to consider for the mother</w:t>
      </w:r>
    </w:p>
    <w:p w14:paraId="210FC16E" w14:textId="77777777" w:rsidR="00D64801" w:rsidRPr="00BA1B7B" w:rsidRDefault="00D64801" w:rsidP="004A22FD">
      <w:pPr>
        <w:pStyle w:val="ListParagraph"/>
        <w:numPr>
          <w:ilvl w:val="0"/>
          <w:numId w:val="54"/>
        </w:numPr>
        <w:spacing w:line="276" w:lineRule="auto"/>
        <w:rPr>
          <w:rFonts w:ascii="Arial" w:hAnsi="Arial" w:cs="Arial"/>
          <w:sz w:val="20"/>
          <w:szCs w:val="20"/>
        </w:rPr>
      </w:pPr>
      <w:r w:rsidRPr="00BA1B7B">
        <w:rPr>
          <w:rFonts w:ascii="Arial" w:hAnsi="Arial" w:cs="Arial"/>
          <w:sz w:val="20"/>
          <w:szCs w:val="20"/>
        </w:rPr>
        <w:t xml:space="preserve">Full Blood Examination – an assessment of haemoglobin levels if the woman was anaemic in pregnancy or had a post-partum haemorrhage </w:t>
      </w:r>
    </w:p>
    <w:p w14:paraId="747C6BE7" w14:textId="77777777" w:rsidR="00D64801" w:rsidRPr="00BA1B7B" w:rsidRDefault="00D64801" w:rsidP="004A22FD">
      <w:pPr>
        <w:pStyle w:val="ListParagraph"/>
        <w:numPr>
          <w:ilvl w:val="0"/>
          <w:numId w:val="54"/>
        </w:numPr>
        <w:spacing w:line="276" w:lineRule="auto"/>
        <w:rPr>
          <w:rFonts w:ascii="Arial" w:hAnsi="Arial" w:cs="Arial"/>
          <w:sz w:val="20"/>
          <w:szCs w:val="20"/>
        </w:rPr>
      </w:pPr>
      <w:r w:rsidRPr="00BA1B7B">
        <w:rPr>
          <w:rFonts w:ascii="Arial" w:hAnsi="Arial" w:cs="Arial"/>
          <w:sz w:val="20"/>
          <w:szCs w:val="20"/>
        </w:rPr>
        <w:t>Iron Studies – recommended for any woman that was iron deficient in pregnancy or who suffered a post-partum haemorrhage</w:t>
      </w:r>
    </w:p>
    <w:p w14:paraId="6444800A" w14:textId="77777777" w:rsidR="00D64801" w:rsidRPr="00BA1B7B" w:rsidRDefault="00D64801" w:rsidP="004A22FD">
      <w:pPr>
        <w:pStyle w:val="ListParagraph"/>
        <w:numPr>
          <w:ilvl w:val="0"/>
          <w:numId w:val="54"/>
        </w:numPr>
        <w:spacing w:line="276" w:lineRule="auto"/>
        <w:rPr>
          <w:rFonts w:ascii="Arial" w:hAnsi="Arial" w:cs="Arial"/>
          <w:sz w:val="20"/>
          <w:szCs w:val="20"/>
        </w:rPr>
      </w:pPr>
      <w:r w:rsidRPr="00BA1B7B">
        <w:rPr>
          <w:rFonts w:ascii="Arial" w:hAnsi="Arial" w:cs="Arial"/>
          <w:sz w:val="20"/>
          <w:szCs w:val="20"/>
        </w:rPr>
        <w:lastRenderedPageBreak/>
        <w:t xml:space="preserve">Oral Glucose Tolerance Test – Eastern Health diabetic educators mail out pathology slips to women that were gestational diabetics following birth. If your patient has not received this slip by your review appointment it is recommended you order this test to be performed. Women should be monitored for the development of diabetes annually as there is a significant risk to women who had gestational diabetes to later develop diabetes in the following 15 years. </w:t>
      </w:r>
    </w:p>
    <w:p w14:paraId="32F0FB0A" w14:textId="77777777" w:rsidR="00D64801" w:rsidRPr="00BA1B7B" w:rsidRDefault="00D64801" w:rsidP="004A22FD">
      <w:pPr>
        <w:pStyle w:val="ListParagraph"/>
        <w:numPr>
          <w:ilvl w:val="0"/>
          <w:numId w:val="54"/>
        </w:numPr>
        <w:spacing w:line="276" w:lineRule="auto"/>
        <w:rPr>
          <w:rFonts w:ascii="Arial" w:hAnsi="Arial" w:cs="Arial"/>
          <w:sz w:val="20"/>
          <w:szCs w:val="20"/>
        </w:rPr>
      </w:pPr>
      <w:r w:rsidRPr="00BA1B7B">
        <w:rPr>
          <w:rFonts w:ascii="Arial" w:hAnsi="Arial" w:cs="Arial"/>
          <w:sz w:val="20"/>
          <w:szCs w:val="20"/>
        </w:rPr>
        <w:t>Consider Cervical Screening Test – for any woman that is due/never been screened before.</w:t>
      </w:r>
    </w:p>
    <w:p w14:paraId="61DB8EB0"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Immunizations to Consider for the mother</w:t>
      </w:r>
    </w:p>
    <w:p w14:paraId="3EFDF0E5" w14:textId="77777777" w:rsidR="00D64801" w:rsidRPr="00BA1B7B" w:rsidRDefault="00D64801" w:rsidP="004A22FD">
      <w:pPr>
        <w:pStyle w:val="ListParagraph"/>
        <w:numPr>
          <w:ilvl w:val="0"/>
          <w:numId w:val="55"/>
        </w:numPr>
        <w:spacing w:line="276" w:lineRule="auto"/>
        <w:rPr>
          <w:rFonts w:ascii="Arial" w:hAnsi="Arial" w:cs="Arial"/>
          <w:sz w:val="20"/>
          <w:szCs w:val="20"/>
        </w:rPr>
      </w:pPr>
      <w:r w:rsidRPr="00BA1B7B">
        <w:rPr>
          <w:rFonts w:ascii="Arial" w:hAnsi="Arial" w:cs="Arial"/>
          <w:sz w:val="20"/>
          <w:szCs w:val="20"/>
        </w:rPr>
        <w:t xml:space="preserve">Measles Mumps and Rubella (MMR) – This is often given post-nataly at the hospital if ante-natal rubella titre is low. </w:t>
      </w:r>
    </w:p>
    <w:p w14:paraId="223D3C1D" w14:textId="23C96850" w:rsidR="00D64801" w:rsidRPr="00BA1B7B" w:rsidRDefault="00D64801" w:rsidP="004A22FD">
      <w:pPr>
        <w:pStyle w:val="ListParagraph"/>
        <w:numPr>
          <w:ilvl w:val="0"/>
          <w:numId w:val="55"/>
        </w:numPr>
        <w:spacing w:line="276" w:lineRule="auto"/>
        <w:rPr>
          <w:rFonts w:ascii="Arial" w:hAnsi="Arial" w:cs="Arial"/>
          <w:sz w:val="20"/>
          <w:szCs w:val="20"/>
        </w:rPr>
      </w:pPr>
      <w:r w:rsidRPr="00BA1B7B">
        <w:rPr>
          <w:rFonts w:ascii="Arial" w:hAnsi="Arial" w:cs="Arial"/>
          <w:sz w:val="20"/>
          <w:szCs w:val="20"/>
        </w:rPr>
        <w:t>Varicella Immunization if non-immune</w:t>
      </w:r>
    </w:p>
    <w:p w14:paraId="2237DA69" w14:textId="269818EE" w:rsidR="00D64801" w:rsidRPr="00BA1B7B" w:rsidRDefault="00D64801" w:rsidP="004A22FD">
      <w:pPr>
        <w:pStyle w:val="ListParagraph"/>
        <w:numPr>
          <w:ilvl w:val="0"/>
          <w:numId w:val="55"/>
        </w:numPr>
        <w:spacing w:line="276" w:lineRule="auto"/>
        <w:rPr>
          <w:rFonts w:ascii="Arial" w:hAnsi="Arial" w:cs="Arial"/>
          <w:sz w:val="20"/>
          <w:szCs w:val="20"/>
        </w:rPr>
      </w:pPr>
      <w:r w:rsidRPr="00BA1B7B">
        <w:rPr>
          <w:rFonts w:ascii="Arial" w:hAnsi="Arial" w:cs="Arial"/>
          <w:sz w:val="20"/>
          <w:szCs w:val="20"/>
        </w:rPr>
        <w:t xml:space="preserve">Pertussis immunization - this is encouraged ante-nataly to the mother and any close care givers to the baby. Immunization should be encouraged if not undertaken </w:t>
      </w:r>
      <w:r w:rsidR="00A97F97">
        <w:rPr>
          <w:rFonts w:ascii="Arial" w:hAnsi="Arial" w:cs="Arial"/>
          <w:sz w:val="20"/>
          <w:szCs w:val="20"/>
        </w:rPr>
        <w:t>antenatally</w:t>
      </w:r>
      <w:r w:rsidRPr="00BA1B7B">
        <w:rPr>
          <w:rFonts w:ascii="Arial" w:hAnsi="Arial" w:cs="Arial"/>
          <w:sz w:val="20"/>
          <w:szCs w:val="20"/>
        </w:rPr>
        <w:t xml:space="preserve"> already. </w:t>
      </w:r>
    </w:p>
    <w:p w14:paraId="53C2B89F"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Education &amp; Discussion for the mother</w:t>
      </w:r>
    </w:p>
    <w:p w14:paraId="70319ABA" w14:textId="77777777" w:rsidR="00D64801" w:rsidRPr="00BA1B7B" w:rsidRDefault="00D64801" w:rsidP="004A22FD">
      <w:pPr>
        <w:pStyle w:val="ListParagraph"/>
        <w:numPr>
          <w:ilvl w:val="0"/>
          <w:numId w:val="56"/>
        </w:numPr>
        <w:spacing w:line="276" w:lineRule="auto"/>
        <w:rPr>
          <w:rFonts w:ascii="Arial" w:hAnsi="Arial" w:cs="Arial"/>
          <w:sz w:val="20"/>
          <w:szCs w:val="20"/>
        </w:rPr>
      </w:pPr>
      <w:r w:rsidRPr="00BA1B7B">
        <w:rPr>
          <w:rFonts w:ascii="Arial" w:hAnsi="Arial" w:cs="Arial"/>
          <w:sz w:val="20"/>
          <w:szCs w:val="20"/>
        </w:rPr>
        <w:t xml:space="preserve">Contraception – options for contraception should be discussed and prescribed as required. Additional information can be found at Family Planning Victoria </w:t>
      </w:r>
      <w:hyperlink r:id="rId168" w:history="1">
        <w:r w:rsidRPr="00BA1B7B">
          <w:rPr>
            <w:rFonts w:ascii="Arial" w:hAnsi="Arial" w:cs="Arial"/>
            <w:sz w:val="20"/>
            <w:szCs w:val="20"/>
            <w:u w:val="single"/>
          </w:rPr>
          <w:t>https://www.fpv.org.au/</w:t>
        </w:r>
      </w:hyperlink>
    </w:p>
    <w:p w14:paraId="3A09D226" w14:textId="77777777" w:rsidR="00D64801" w:rsidRPr="00BA1B7B" w:rsidRDefault="00D64801" w:rsidP="004A22FD">
      <w:pPr>
        <w:pStyle w:val="ListParagraph"/>
        <w:numPr>
          <w:ilvl w:val="0"/>
          <w:numId w:val="56"/>
        </w:numPr>
        <w:spacing w:line="276" w:lineRule="auto"/>
        <w:rPr>
          <w:rFonts w:ascii="Arial" w:hAnsi="Arial" w:cs="Arial"/>
          <w:sz w:val="20"/>
          <w:szCs w:val="20"/>
        </w:rPr>
      </w:pPr>
      <w:r w:rsidRPr="00BA1B7B">
        <w:rPr>
          <w:rFonts w:ascii="Arial" w:hAnsi="Arial" w:cs="Arial"/>
          <w:sz w:val="20"/>
          <w:szCs w:val="20"/>
        </w:rPr>
        <w:t xml:space="preserve">Birth Debrief – women can suffer both mental and physical trauma within the birthing process. An opportunity should be provided to discuss the birth and events and debrief if necessary. </w:t>
      </w:r>
    </w:p>
    <w:p w14:paraId="25CFC9F5" w14:textId="77777777" w:rsidR="00D64801" w:rsidRPr="00BA1B7B" w:rsidRDefault="00D64801" w:rsidP="004A22FD">
      <w:pPr>
        <w:pStyle w:val="ListParagraph"/>
        <w:numPr>
          <w:ilvl w:val="0"/>
          <w:numId w:val="56"/>
        </w:numPr>
        <w:spacing w:line="276" w:lineRule="auto"/>
        <w:rPr>
          <w:rFonts w:ascii="Arial" w:hAnsi="Arial" w:cs="Arial"/>
          <w:sz w:val="20"/>
          <w:szCs w:val="20"/>
        </w:rPr>
      </w:pPr>
      <w:r w:rsidRPr="00BA1B7B">
        <w:rPr>
          <w:rFonts w:ascii="Arial" w:hAnsi="Arial" w:cs="Arial"/>
          <w:sz w:val="20"/>
          <w:szCs w:val="20"/>
        </w:rPr>
        <w:t>Post-natal depression and anxiety – according to PANDA, 1 in 7 women and up to 1 in 10 men suffer from post-natal anxiety and or depression. Assessing mental health is encouraged at every encounter with the GP as post-natal depression can occur at any time during the first 12 months post-partum. The PANDA website has resources for women, partners and health professionals in regards to ongoing support, referral services and education.</w:t>
      </w:r>
    </w:p>
    <w:p w14:paraId="2F8380CA" w14:textId="77777777" w:rsidR="00D64801" w:rsidRPr="00BA1B7B" w:rsidRDefault="00A97F97" w:rsidP="00D64801">
      <w:pPr>
        <w:pStyle w:val="ListParagraph"/>
        <w:spacing w:line="276" w:lineRule="auto"/>
        <w:rPr>
          <w:rStyle w:val="Hyperlink"/>
          <w:rFonts w:ascii="Arial" w:hAnsi="Arial" w:cs="Arial"/>
          <w:color w:val="auto"/>
          <w:sz w:val="20"/>
          <w:szCs w:val="20"/>
        </w:rPr>
      </w:pPr>
      <w:hyperlink r:id="rId169" w:history="1">
        <w:r w:rsidR="00D64801" w:rsidRPr="00BA1B7B">
          <w:rPr>
            <w:rStyle w:val="Hyperlink"/>
            <w:rFonts w:ascii="Arial" w:hAnsi="Arial" w:cs="Arial"/>
            <w:color w:val="auto"/>
            <w:sz w:val="20"/>
            <w:szCs w:val="20"/>
          </w:rPr>
          <w:t>https://www.panda.org.au/</w:t>
        </w:r>
      </w:hyperlink>
    </w:p>
    <w:p w14:paraId="62F0957B" w14:textId="77777777" w:rsidR="00D64801" w:rsidRPr="00BA1B7B" w:rsidRDefault="00D64801" w:rsidP="00D64801">
      <w:pPr>
        <w:pStyle w:val="ListParagraph"/>
        <w:spacing w:line="276" w:lineRule="auto"/>
        <w:rPr>
          <w:rFonts w:ascii="Arial" w:hAnsi="Arial" w:cs="Arial"/>
          <w:i/>
          <w:sz w:val="20"/>
          <w:szCs w:val="20"/>
        </w:rPr>
      </w:pPr>
      <w:r w:rsidRPr="00BA1B7B">
        <w:rPr>
          <w:rFonts w:ascii="Arial" w:hAnsi="Arial" w:cs="Arial"/>
          <w:sz w:val="20"/>
          <w:szCs w:val="20"/>
        </w:rPr>
        <w:t xml:space="preserve">Community resources to support mothers and babies can be found on Health Pathways Melbourne – </w:t>
      </w:r>
      <w:r w:rsidRPr="00BA1B7B">
        <w:rPr>
          <w:rFonts w:ascii="Arial" w:hAnsi="Arial" w:cs="Arial"/>
          <w:i/>
          <w:sz w:val="20"/>
          <w:szCs w:val="20"/>
        </w:rPr>
        <w:t>Mothers and Babies Community Support</w:t>
      </w:r>
    </w:p>
    <w:p w14:paraId="42A37031" w14:textId="77777777" w:rsidR="00D64801" w:rsidRPr="00BA1B7B" w:rsidRDefault="00D64801" w:rsidP="004A22FD">
      <w:pPr>
        <w:pStyle w:val="ListParagraph"/>
        <w:numPr>
          <w:ilvl w:val="0"/>
          <w:numId w:val="56"/>
        </w:numPr>
        <w:spacing w:line="276" w:lineRule="auto"/>
        <w:rPr>
          <w:rFonts w:ascii="Arial" w:hAnsi="Arial" w:cs="Arial"/>
          <w:sz w:val="20"/>
          <w:szCs w:val="20"/>
        </w:rPr>
      </w:pPr>
      <w:r w:rsidRPr="00BA1B7B">
        <w:rPr>
          <w:rFonts w:ascii="Arial" w:hAnsi="Arial" w:cs="Arial"/>
          <w:sz w:val="20"/>
          <w:szCs w:val="20"/>
        </w:rPr>
        <w:t xml:space="preserve">Return to exercise – The 6-week check is a good opportunity to assess Pelvic floor issues and diastasis rectus abdominal muscles (DRAM). Referrals to women’s health physios can be beneficial for women experiencing ongoing issues at the 6-week mark. </w:t>
      </w:r>
    </w:p>
    <w:p w14:paraId="1313DFD8" w14:textId="77777777" w:rsidR="00D64801" w:rsidRPr="00BA1B7B" w:rsidRDefault="00D64801" w:rsidP="004A22FD">
      <w:pPr>
        <w:pStyle w:val="ListParagraph"/>
        <w:numPr>
          <w:ilvl w:val="0"/>
          <w:numId w:val="56"/>
        </w:numPr>
        <w:spacing w:line="276" w:lineRule="auto"/>
        <w:rPr>
          <w:rFonts w:ascii="Arial" w:hAnsi="Arial" w:cs="Arial"/>
          <w:sz w:val="20"/>
          <w:szCs w:val="20"/>
        </w:rPr>
      </w:pPr>
      <w:r w:rsidRPr="00BA1B7B">
        <w:rPr>
          <w:rFonts w:ascii="Arial" w:hAnsi="Arial" w:cs="Arial"/>
          <w:sz w:val="20"/>
          <w:szCs w:val="20"/>
        </w:rPr>
        <w:t xml:space="preserve">Alcohol, smoking and drug usage. Women should be encouraged to refrain from alcohol and drug usage whilst breastfeeding, and SIDs recommendations reiterated in regards to safer smoking practices if a woman or her partner chooses to smoke. </w:t>
      </w:r>
    </w:p>
    <w:p w14:paraId="7C7F255A" w14:textId="77777777" w:rsidR="00D64801" w:rsidRPr="00BA1B7B" w:rsidRDefault="00D64801" w:rsidP="004A22FD">
      <w:pPr>
        <w:pStyle w:val="ListParagraph"/>
        <w:numPr>
          <w:ilvl w:val="0"/>
          <w:numId w:val="56"/>
        </w:numPr>
        <w:spacing w:line="276" w:lineRule="auto"/>
        <w:rPr>
          <w:rFonts w:ascii="Arial" w:hAnsi="Arial" w:cs="Arial"/>
          <w:sz w:val="20"/>
          <w:szCs w:val="20"/>
        </w:rPr>
      </w:pPr>
      <w:r w:rsidRPr="00BA1B7B">
        <w:rPr>
          <w:rFonts w:ascii="Arial" w:hAnsi="Arial" w:cs="Arial"/>
          <w:sz w:val="20"/>
          <w:szCs w:val="20"/>
        </w:rPr>
        <w:t>Domestic and partner violence, relationship and parenting supports advertised to women.</w:t>
      </w:r>
    </w:p>
    <w:p w14:paraId="34C8DD44" w14:textId="77777777" w:rsidR="00D64801" w:rsidRPr="00BA1B7B" w:rsidRDefault="00D64801" w:rsidP="00D64801">
      <w:pPr>
        <w:spacing w:line="276" w:lineRule="auto"/>
        <w:rPr>
          <w:rFonts w:ascii="Arial" w:hAnsi="Arial" w:cs="Arial"/>
          <w:sz w:val="20"/>
          <w:szCs w:val="20"/>
        </w:rPr>
      </w:pPr>
    </w:p>
    <w:p w14:paraId="18DD3F04"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Physical Assessment of the Baby</w:t>
      </w:r>
    </w:p>
    <w:p w14:paraId="7AC7309A" w14:textId="77777777" w:rsidR="00D64801" w:rsidRPr="00BA1B7B" w:rsidRDefault="00D64801" w:rsidP="004A22FD">
      <w:pPr>
        <w:pStyle w:val="ListParagraph"/>
        <w:numPr>
          <w:ilvl w:val="0"/>
          <w:numId w:val="57"/>
        </w:numPr>
        <w:spacing w:line="276" w:lineRule="auto"/>
        <w:rPr>
          <w:rFonts w:ascii="Arial" w:hAnsi="Arial" w:cs="Arial"/>
          <w:sz w:val="20"/>
          <w:szCs w:val="20"/>
        </w:rPr>
      </w:pPr>
      <w:r w:rsidRPr="00BA1B7B">
        <w:rPr>
          <w:rFonts w:ascii="Arial" w:hAnsi="Arial" w:cs="Arial"/>
          <w:sz w:val="20"/>
          <w:szCs w:val="20"/>
        </w:rPr>
        <w:t>General physical examination of the newborn – assessment of head shape, fontanelles, muscle tone, genitalia, (testes descent in males), hips, skin, heart and chest, eyes and reflexes.</w:t>
      </w:r>
    </w:p>
    <w:p w14:paraId="46A06DF8" w14:textId="77777777" w:rsidR="00D64801" w:rsidRPr="00BA1B7B" w:rsidRDefault="00D64801" w:rsidP="004A22FD">
      <w:pPr>
        <w:pStyle w:val="ListParagraph"/>
        <w:numPr>
          <w:ilvl w:val="0"/>
          <w:numId w:val="57"/>
        </w:numPr>
        <w:spacing w:line="276" w:lineRule="auto"/>
        <w:rPr>
          <w:rFonts w:ascii="Arial" w:hAnsi="Arial" w:cs="Arial"/>
          <w:sz w:val="20"/>
          <w:szCs w:val="20"/>
        </w:rPr>
      </w:pPr>
      <w:r w:rsidRPr="00BA1B7B">
        <w:rPr>
          <w:rFonts w:ascii="Arial" w:hAnsi="Arial" w:cs="Arial"/>
          <w:sz w:val="20"/>
          <w:szCs w:val="20"/>
        </w:rPr>
        <w:t>Growth assessment – the Victorian child health record should be used to assess previous weights and growths. Discussion should occur in regards to appropriate feeding and gowth.</w:t>
      </w:r>
    </w:p>
    <w:p w14:paraId="13A79DD6" w14:textId="77777777" w:rsidR="00D64801" w:rsidRPr="00BA1B7B" w:rsidRDefault="00D64801" w:rsidP="004A22FD">
      <w:pPr>
        <w:pStyle w:val="ListParagraph"/>
        <w:numPr>
          <w:ilvl w:val="0"/>
          <w:numId w:val="57"/>
        </w:numPr>
        <w:spacing w:line="276" w:lineRule="auto"/>
        <w:rPr>
          <w:rFonts w:ascii="Arial" w:hAnsi="Arial" w:cs="Arial"/>
          <w:sz w:val="20"/>
          <w:szCs w:val="20"/>
        </w:rPr>
      </w:pPr>
      <w:r w:rsidRPr="00BA1B7B">
        <w:rPr>
          <w:rFonts w:ascii="Arial" w:hAnsi="Arial" w:cs="Arial"/>
          <w:sz w:val="20"/>
          <w:szCs w:val="20"/>
        </w:rPr>
        <w:t>Follow up of any identified abnormalities from birth or the initial newborn examination as documented in the green child health record book</w:t>
      </w:r>
    </w:p>
    <w:p w14:paraId="205ECCF2"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Investigations</w:t>
      </w:r>
    </w:p>
    <w:p w14:paraId="6FE92E36" w14:textId="77777777" w:rsidR="00D64801" w:rsidRPr="00BA1B7B" w:rsidRDefault="00D64801" w:rsidP="004A22FD">
      <w:pPr>
        <w:pStyle w:val="ListParagraph"/>
        <w:numPr>
          <w:ilvl w:val="0"/>
          <w:numId w:val="58"/>
        </w:numPr>
        <w:spacing w:line="276" w:lineRule="auto"/>
        <w:rPr>
          <w:rFonts w:ascii="Arial" w:hAnsi="Arial" w:cs="Arial"/>
          <w:sz w:val="20"/>
          <w:szCs w:val="20"/>
        </w:rPr>
      </w:pPr>
      <w:r w:rsidRPr="00BA1B7B">
        <w:rPr>
          <w:rFonts w:ascii="Arial" w:hAnsi="Arial" w:cs="Arial"/>
          <w:sz w:val="20"/>
          <w:szCs w:val="20"/>
        </w:rPr>
        <w:t>Hip ultrasounds followed up or ordered for any babies identified as at risk for hip dysplasia</w:t>
      </w:r>
    </w:p>
    <w:p w14:paraId="5F9EC6B3" w14:textId="77777777" w:rsidR="00D64801" w:rsidRPr="00BA1B7B" w:rsidRDefault="00D64801" w:rsidP="004A22FD">
      <w:pPr>
        <w:pStyle w:val="ListParagraph"/>
        <w:numPr>
          <w:ilvl w:val="0"/>
          <w:numId w:val="58"/>
        </w:numPr>
        <w:spacing w:line="276" w:lineRule="auto"/>
        <w:rPr>
          <w:rFonts w:ascii="Arial" w:hAnsi="Arial" w:cs="Arial"/>
          <w:sz w:val="20"/>
          <w:szCs w:val="20"/>
        </w:rPr>
      </w:pPr>
      <w:r w:rsidRPr="00BA1B7B">
        <w:rPr>
          <w:rFonts w:ascii="Arial" w:hAnsi="Arial" w:cs="Arial"/>
          <w:sz w:val="20"/>
          <w:szCs w:val="20"/>
        </w:rPr>
        <w:lastRenderedPageBreak/>
        <w:t xml:space="preserve">Follow up of abnormal clinical findings – such as prolonged jaundice or heart murmurs. </w:t>
      </w:r>
    </w:p>
    <w:p w14:paraId="22F67328" w14:textId="1835A8E3" w:rsidR="00D64801" w:rsidRPr="00BA1B7B" w:rsidRDefault="00D64801" w:rsidP="004A22FD">
      <w:pPr>
        <w:pStyle w:val="ListParagraph"/>
        <w:numPr>
          <w:ilvl w:val="0"/>
          <w:numId w:val="58"/>
        </w:numPr>
        <w:spacing w:line="276" w:lineRule="auto"/>
        <w:rPr>
          <w:rFonts w:ascii="Arial" w:hAnsi="Arial" w:cs="Arial"/>
          <w:sz w:val="20"/>
          <w:szCs w:val="20"/>
        </w:rPr>
      </w:pPr>
      <w:r w:rsidRPr="00BA1B7B">
        <w:rPr>
          <w:rFonts w:ascii="Arial" w:hAnsi="Arial" w:cs="Arial"/>
          <w:sz w:val="20"/>
          <w:szCs w:val="20"/>
        </w:rPr>
        <w:t>Identification of the newborn at risk of vitamin D deficiency - any infant whose mother was vitamin d deficient in pregnancy should receive initial supplementation whilst an inpatient and be encouraged to supplement their baby from four months old with Vitamin D drops (400 units) for the first 12 months</w:t>
      </w:r>
    </w:p>
    <w:p w14:paraId="63AC91CE" w14:textId="77777777" w:rsidR="00D64801" w:rsidRPr="00BA1B7B" w:rsidRDefault="00D64801" w:rsidP="00D64801">
      <w:pPr>
        <w:spacing w:line="276"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368"/>
        <w:gridCol w:w="5686"/>
      </w:tblGrid>
      <w:tr w:rsidR="00D64801" w:rsidRPr="00BA1B7B" w14:paraId="1F66DBC2" w14:textId="77777777" w:rsidTr="00D64801">
        <w:tc>
          <w:tcPr>
            <w:tcW w:w="10031" w:type="dxa"/>
            <w:gridSpan w:val="3"/>
            <w:shd w:val="clear" w:color="auto" w:fill="auto"/>
          </w:tcPr>
          <w:p w14:paraId="6E628897" w14:textId="77777777" w:rsidR="00D64801" w:rsidRPr="00BA1B7B" w:rsidRDefault="00D64801" w:rsidP="00D64801">
            <w:pPr>
              <w:pStyle w:val="NormalWeb"/>
              <w:spacing w:before="0" w:beforeAutospacing="0" w:after="0" w:afterAutospacing="0"/>
              <w:rPr>
                <w:rFonts w:ascii="Arial" w:hAnsi="Arial" w:cs="Arial"/>
                <w:b/>
                <w:sz w:val="20"/>
                <w:szCs w:val="20"/>
                <w:lang w:val="en"/>
              </w:rPr>
            </w:pPr>
            <w:r w:rsidRPr="00BA1B7B">
              <w:rPr>
                <w:rFonts w:ascii="Arial" w:hAnsi="Arial" w:cs="Arial"/>
                <w:b/>
                <w:sz w:val="20"/>
                <w:szCs w:val="20"/>
                <w:lang w:val="en"/>
              </w:rPr>
              <w:t xml:space="preserve">Management of neonate of a mother with Vitamin D Deficiency </w:t>
            </w:r>
          </w:p>
          <w:p w14:paraId="551EF341" w14:textId="77777777" w:rsidR="00D64801" w:rsidRPr="00BA1B7B" w:rsidRDefault="00D64801" w:rsidP="00D64801">
            <w:pPr>
              <w:pStyle w:val="NormalWeb"/>
              <w:spacing w:before="0" w:beforeAutospacing="0" w:after="0" w:afterAutospacing="0"/>
              <w:rPr>
                <w:rFonts w:ascii="Arial" w:hAnsi="Arial" w:cs="Arial"/>
                <w:sz w:val="20"/>
                <w:szCs w:val="20"/>
                <w:lang w:val="en"/>
              </w:rPr>
            </w:pPr>
          </w:p>
        </w:tc>
      </w:tr>
      <w:tr w:rsidR="00D64801" w:rsidRPr="00BA1B7B" w14:paraId="736BADC3" w14:textId="77777777" w:rsidTr="00D64801">
        <w:tc>
          <w:tcPr>
            <w:tcW w:w="2093" w:type="dxa"/>
            <w:shd w:val="clear" w:color="auto" w:fill="auto"/>
          </w:tcPr>
          <w:p w14:paraId="48095E78" w14:textId="77777777" w:rsidR="00D64801" w:rsidRPr="00BA1B7B" w:rsidRDefault="00D64801" w:rsidP="00D64801">
            <w:pPr>
              <w:pStyle w:val="NormalWeb"/>
              <w:spacing w:before="0" w:beforeAutospacing="0" w:after="0" w:afterAutospacing="0"/>
              <w:rPr>
                <w:rFonts w:ascii="Arial" w:hAnsi="Arial" w:cs="Arial"/>
                <w:b/>
                <w:sz w:val="20"/>
                <w:szCs w:val="20"/>
                <w:lang w:val="en"/>
              </w:rPr>
            </w:pPr>
            <w:r w:rsidRPr="00BA1B7B">
              <w:rPr>
                <w:rFonts w:ascii="Arial" w:hAnsi="Arial" w:cs="Arial"/>
                <w:b/>
                <w:sz w:val="20"/>
                <w:szCs w:val="20"/>
                <w:lang w:val="en"/>
              </w:rPr>
              <w:t>Preterm neonate</w:t>
            </w:r>
          </w:p>
        </w:tc>
        <w:tc>
          <w:tcPr>
            <w:tcW w:w="1417" w:type="dxa"/>
            <w:shd w:val="clear" w:color="auto" w:fill="auto"/>
          </w:tcPr>
          <w:p w14:paraId="2A79F5E4"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sz w:val="20"/>
                <w:szCs w:val="20"/>
                <w:lang w:val="en"/>
              </w:rPr>
              <w:t>Discuss with paediatric consultant</w:t>
            </w:r>
          </w:p>
        </w:tc>
        <w:tc>
          <w:tcPr>
            <w:tcW w:w="6521" w:type="dxa"/>
            <w:shd w:val="clear" w:color="auto" w:fill="auto"/>
          </w:tcPr>
          <w:p w14:paraId="23DAEC91"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sz w:val="20"/>
                <w:szCs w:val="20"/>
                <w:lang w:val="en"/>
              </w:rPr>
              <w:t>Initial treatment as per paediatric consultant</w:t>
            </w:r>
          </w:p>
          <w:p w14:paraId="20B24E1F"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sz w:val="20"/>
                <w:szCs w:val="20"/>
                <w:lang w:val="en"/>
              </w:rPr>
              <w:t>Maintenance is Multivitamin drops 0.45 ml/day (ie. Pentavite Multivitamin oral liquid, 0-3 years)</w:t>
            </w:r>
          </w:p>
        </w:tc>
      </w:tr>
      <w:tr w:rsidR="00D64801" w:rsidRPr="00BA1B7B" w14:paraId="1712BAB6" w14:textId="77777777" w:rsidTr="00D64801">
        <w:tc>
          <w:tcPr>
            <w:tcW w:w="2093" w:type="dxa"/>
            <w:vMerge w:val="restart"/>
            <w:shd w:val="clear" w:color="auto" w:fill="auto"/>
          </w:tcPr>
          <w:p w14:paraId="04F5FC04" w14:textId="77777777" w:rsidR="00D64801" w:rsidRPr="00BA1B7B" w:rsidRDefault="00D64801" w:rsidP="00D64801">
            <w:pPr>
              <w:pStyle w:val="NormalWeb"/>
              <w:spacing w:before="0" w:beforeAutospacing="0" w:after="0" w:afterAutospacing="0"/>
              <w:rPr>
                <w:rFonts w:ascii="Arial" w:hAnsi="Arial" w:cs="Arial"/>
                <w:b/>
                <w:sz w:val="20"/>
                <w:szCs w:val="20"/>
                <w:lang w:val="en"/>
              </w:rPr>
            </w:pPr>
            <w:r w:rsidRPr="00BA1B7B">
              <w:rPr>
                <w:rFonts w:ascii="Arial" w:hAnsi="Arial" w:cs="Arial"/>
                <w:b/>
                <w:sz w:val="20"/>
                <w:szCs w:val="20"/>
                <w:lang w:val="en"/>
              </w:rPr>
              <w:t>Term neonate</w:t>
            </w:r>
          </w:p>
          <w:p w14:paraId="6BD1E7C3" w14:textId="77777777" w:rsidR="00D64801" w:rsidRPr="00BA1B7B" w:rsidRDefault="00D64801" w:rsidP="00D64801">
            <w:pPr>
              <w:pStyle w:val="NormalWeb"/>
              <w:spacing w:before="0" w:beforeAutospacing="0" w:after="0" w:afterAutospacing="0"/>
              <w:rPr>
                <w:rFonts w:ascii="Arial" w:hAnsi="Arial" w:cs="Arial"/>
                <w:b/>
                <w:sz w:val="20"/>
                <w:szCs w:val="20"/>
                <w:lang w:val="en"/>
              </w:rPr>
            </w:pPr>
            <w:r w:rsidRPr="00BA1B7B">
              <w:rPr>
                <w:rFonts w:ascii="Arial" w:hAnsi="Arial" w:cs="Arial"/>
                <w:b/>
                <w:sz w:val="20"/>
                <w:szCs w:val="20"/>
                <w:lang w:val="en"/>
              </w:rPr>
              <w:t>&amp; maternal antenatal Vitamin D level is</w:t>
            </w:r>
          </w:p>
          <w:p w14:paraId="6EB51A86" w14:textId="77777777" w:rsidR="00D64801" w:rsidRPr="00BA1B7B" w:rsidRDefault="00D64801" w:rsidP="00D64801">
            <w:pPr>
              <w:pStyle w:val="NormalWeb"/>
              <w:spacing w:before="0" w:beforeAutospacing="0" w:after="0" w:afterAutospacing="0"/>
              <w:rPr>
                <w:rFonts w:ascii="Arial" w:hAnsi="Arial" w:cs="Arial"/>
                <w:b/>
                <w:sz w:val="20"/>
                <w:szCs w:val="20"/>
                <w:lang w:val="en"/>
              </w:rPr>
            </w:pPr>
            <w:r w:rsidRPr="00BA1B7B">
              <w:rPr>
                <w:rFonts w:ascii="Arial" w:hAnsi="Arial" w:cs="Arial"/>
                <w:b/>
                <w:sz w:val="20"/>
                <w:szCs w:val="20"/>
                <w:lang w:val="en"/>
              </w:rPr>
              <w:t>26-49nmols/L</w:t>
            </w:r>
          </w:p>
        </w:tc>
        <w:tc>
          <w:tcPr>
            <w:tcW w:w="1417" w:type="dxa"/>
            <w:shd w:val="clear" w:color="auto" w:fill="auto"/>
          </w:tcPr>
          <w:p w14:paraId="34C77C18"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sz w:val="20"/>
                <w:szCs w:val="20"/>
                <w:lang w:val="en"/>
              </w:rPr>
              <w:t>Breast feeding</w:t>
            </w:r>
          </w:p>
        </w:tc>
        <w:tc>
          <w:tcPr>
            <w:tcW w:w="6521" w:type="dxa"/>
            <w:shd w:val="clear" w:color="auto" w:fill="auto"/>
          </w:tcPr>
          <w:p w14:paraId="63F07078"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sz w:val="20"/>
                <w:szCs w:val="20"/>
                <w:lang w:val="en"/>
              </w:rPr>
              <w:t xml:space="preserve">Colecalciferol (cholecalciferol) 400 us daily (eg Ostevit D 2 drops) from day 2 of life until ≥12months old  </w:t>
            </w:r>
          </w:p>
          <w:p w14:paraId="1A179DF0" w14:textId="77777777" w:rsidR="00D64801" w:rsidRPr="00BA1B7B" w:rsidRDefault="00D64801" w:rsidP="00D64801">
            <w:pPr>
              <w:pStyle w:val="NormalWeb"/>
              <w:spacing w:before="0" w:beforeAutospacing="0" w:after="0" w:afterAutospacing="0"/>
              <w:rPr>
                <w:rFonts w:ascii="Arial" w:hAnsi="Arial" w:cs="Arial"/>
                <w:sz w:val="20"/>
                <w:szCs w:val="20"/>
                <w:lang w:val="en"/>
              </w:rPr>
            </w:pPr>
          </w:p>
        </w:tc>
      </w:tr>
      <w:tr w:rsidR="00D64801" w:rsidRPr="00BA1B7B" w14:paraId="2631772D" w14:textId="77777777" w:rsidTr="00D64801">
        <w:tc>
          <w:tcPr>
            <w:tcW w:w="2093" w:type="dxa"/>
            <w:vMerge/>
            <w:shd w:val="clear" w:color="auto" w:fill="auto"/>
          </w:tcPr>
          <w:p w14:paraId="44918646" w14:textId="77777777" w:rsidR="00D64801" w:rsidRPr="00BA1B7B" w:rsidRDefault="00D64801" w:rsidP="00D64801">
            <w:pPr>
              <w:pStyle w:val="NormalWeb"/>
              <w:spacing w:before="0" w:beforeAutospacing="0" w:after="0" w:afterAutospacing="0"/>
              <w:rPr>
                <w:rFonts w:ascii="Arial" w:hAnsi="Arial" w:cs="Arial"/>
                <w:b/>
                <w:sz w:val="20"/>
                <w:szCs w:val="20"/>
                <w:lang w:val="en"/>
              </w:rPr>
            </w:pPr>
          </w:p>
        </w:tc>
        <w:tc>
          <w:tcPr>
            <w:tcW w:w="1417" w:type="dxa"/>
            <w:shd w:val="clear" w:color="auto" w:fill="auto"/>
          </w:tcPr>
          <w:p w14:paraId="1DD90113"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sz w:val="20"/>
                <w:szCs w:val="20"/>
                <w:lang w:val="en"/>
              </w:rPr>
              <w:t xml:space="preserve"> Artificial Feeding</w:t>
            </w:r>
          </w:p>
        </w:tc>
        <w:tc>
          <w:tcPr>
            <w:tcW w:w="6521" w:type="dxa"/>
            <w:shd w:val="clear" w:color="auto" w:fill="auto"/>
          </w:tcPr>
          <w:p w14:paraId="290B00FB"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sz w:val="20"/>
                <w:szCs w:val="20"/>
                <w:lang w:val="en"/>
              </w:rPr>
              <w:t xml:space="preserve">Colecalciferol (cholecalciferol) 400us daily (eg Ostevit D 2 drops) daily from day 2 of life until drinking 1000mls/day of vitamin fortified formula (to obtain recommended daily requirements of 400 units of Vitamin D) </w:t>
            </w:r>
          </w:p>
        </w:tc>
      </w:tr>
      <w:tr w:rsidR="00D64801" w:rsidRPr="00BA1B7B" w14:paraId="7B637ACA" w14:textId="77777777" w:rsidTr="00D64801">
        <w:tc>
          <w:tcPr>
            <w:tcW w:w="2093" w:type="dxa"/>
            <w:shd w:val="clear" w:color="auto" w:fill="auto"/>
          </w:tcPr>
          <w:p w14:paraId="52B5B298" w14:textId="77777777" w:rsidR="00D64801" w:rsidRPr="00BA1B7B" w:rsidRDefault="00D64801" w:rsidP="00D64801">
            <w:pPr>
              <w:pStyle w:val="NormalWeb"/>
              <w:spacing w:before="0" w:beforeAutospacing="0" w:after="0" w:afterAutospacing="0"/>
              <w:rPr>
                <w:rFonts w:ascii="Arial" w:hAnsi="Arial" w:cs="Arial"/>
                <w:b/>
                <w:sz w:val="20"/>
                <w:szCs w:val="20"/>
                <w:lang w:val="en"/>
              </w:rPr>
            </w:pPr>
            <w:r w:rsidRPr="00BA1B7B">
              <w:rPr>
                <w:rFonts w:ascii="Arial" w:hAnsi="Arial" w:cs="Arial"/>
                <w:b/>
                <w:sz w:val="20"/>
                <w:szCs w:val="20"/>
                <w:lang w:val="en"/>
              </w:rPr>
              <w:t>Term neonate</w:t>
            </w:r>
          </w:p>
          <w:p w14:paraId="1F91425E" w14:textId="77777777" w:rsidR="00D64801" w:rsidRPr="00BA1B7B" w:rsidRDefault="00D64801" w:rsidP="00D64801">
            <w:pPr>
              <w:pStyle w:val="NormalWeb"/>
              <w:spacing w:before="0" w:beforeAutospacing="0" w:after="0" w:afterAutospacing="0"/>
              <w:rPr>
                <w:rFonts w:ascii="Arial" w:hAnsi="Arial" w:cs="Arial"/>
                <w:b/>
                <w:sz w:val="20"/>
                <w:szCs w:val="20"/>
                <w:lang w:val="en"/>
              </w:rPr>
            </w:pPr>
            <w:r w:rsidRPr="00BA1B7B">
              <w:rPr>
                <w:rFonts w:ascii="Arial" w:hAnsi="Arial" w:cs="Arial"/>
                <w:b/>
                <w:sz w:val="20"/>
                <w:szCs w:val="20"/>
                <w:lang w:val="en"/>
              </w:rPr>
              <w:t>&amp; Maternal antenatal Vitamin D level is &lt;25nmols/L</w:t>
            </w:r>
          </w:p>
        </w:tc>
        <w:tc>
          <w:tcPr>
            <w:tcW w:w="1417" w:type="dxa"/>
            <w:shd w:val="clear" w:color="auto" w:fill="auto"/>
          </w:tcPr>
          <w:p w14:paraId="22ABDF20" w14:textId="77777777" w:rsidR="00D64801" w:rsidRPr="00BA1B7B" w:rsidRDefault="00D64801" w:rsidP="00D64801">
            <w:pPr>
              <w:pStyle w:val="NormalWeb"/>
              <w:spacing w:before="0" w:beforeAutospacing="0" w:after="0" w:afterAutospacing="0"/>
              <w:rPr>
                <w:rFonts w:ascii="Arial" w:hAnsi="Arial" w:cs="Arial"/>
                <w:sz w:val="20"/>
                <w:szCs w:val="20"/>
                <w:lang w:val="en"/>
              </w:rPr>
            </w:pPr>
          </w:p>
        </w:tc>
        <w:tc>
          <w:tcPr>
            <w:tcW w:w="6521" w:type="dxa"/>
            <w:shd w:val="clear" w:color="auto" w:fill="auto"/>
          </w:tcPr>
          <w:p w14:paraId="369B9356"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sz w:val="20"/>
                <w:szCs w:val="20"/>
                <w:lang w:val="en"/>
              </w:rPr>
              <w:t xml:space="preserve">Colecalciferol (cholecalciferol) 50,000 units orally at birth </w:t>
            </w:r>
          </w:p>
          <w:p w14:paraId="09701360" w14:textId="77777777" w:rsidR="00D64801" w:rsidRPr="00BA1B7B" w:rsidRDefault="00D64801" w:rsidP="00D64801">
            <w:pPr>
              <w:pStyle w:val="NormalWeb"/>
              <w:spacing w:before="0" w:beforeAutospacing="0" w:after="0" w:afterAutospacing="0"/>
              <w:ind w:left="360"/>
              <w:rPr>
                <w:rFonts w:ascii="Arial" w:hAnsi="Arial" w:cs="Arial"/>
                <w:sz w:val="20"/>
                <w:szCs w:val="20"/>
                <w:lang w:val="en"/>
              </w:rPr>
            </w:pPr>
            <w:r w:rsidRPr="00BA1B7B">
              <w:rPr>
                <w:rFonts w:ascii="Arial" w:hAnsi="Arial" w:cs="Arial"/>
                <w:sz w:val="20"/>
                <w:szCs w:val="20"/>
                <w:lang w:val="en"/>
              </w:rPr>
              <w:t>then</w:t>
            </w:r>
          </w:p>
          <w:p w14:paraId="2BA40824"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sz w:val="20"/>
                <w:szCs w:val="20"/>
                <w:lang w:val="en"/>
              </w:rPr>
              <w:t xml:space="preserve">Colecalciferol (cholecalciferol) 400 us daily (eg Ostevit D 2 drops) from day 2 of life until ≥12months old  </w:t>
            </w:r>
          </w:p>
          <w:p w14:paraId="4ED924BE" w14:textId="77777777" w:rsidR="00D64801" w:rsidRPr="00BA1B7B" w:rsidRDefault="00D64801" w:rsidP="00D64801">
            <w:pPr>
              <w:pStyle w:val="NormalWeb"/>
              <w:spacing w:before="0" w:beforeAutospacing="0" w:after="0" w:afterAutospacing="0"/>
              <w:rPr>
                <w:rFonts w:ascii="Arial" w:hAnsi="Arial" w:cs="Arial"/>
                <w:sz w:val="20"/>
                <w:szCs w:val="20"/>
                <w:lang w:val="en"/>
              </w:rPr>
            </w:pPr>
          </w:p>
        </w:tc>
      </w:tr>
      <w:tr w:rsidR="00D64801" w:rsidRPr="00BA1B7B" w14:paraId="401DFC47" w14:textId="77777777" w:rsidTr="00D64801">
        <w:tc>
          <w:tcPr>
            <w:tcW w:w="2093" w:type="dxa"/>
            <w:shd w:val="clear" w:color="auto" w:fill="auto"/>
          </w:tcPr>
          <w:p w14:paraId="326A9B8F" w14:textId="77777777" w:rsidR="00D64801" w:rsidRPr="00BA1B7B" w:rsidRDefault="00D64801" w:rsidP="00D64801">
            <w:pPr>
              <w:pStyle w:val="NormalWeb"/>
              <w:spacing w:before="0" w:beforeAutospacing="0" w:after="0" w:afterAutospacing="0"/>
              <w:rPr>
                <w:rFonts w:ascii="Arial" w:hAnsi="Arial" w:cs="Arial"/>
                <w:b/>
                <w:sz w:val="20"/>
                <w:szCs w:val="20"/>
                <w:lang w:val="en"/>
              </w:rPr>
            </w:pPr>
            <w:r w:rsidRPr="00BA1B7B">
              <w:rPr>
                <w:rFonts w:ascii="Arial" w:hAnsi="Arial" w:cs="Arial"/>
                <w:b/>
                <w:bCs/>
                <w:sz w:val="20"/>
                <w:szCs w:val="20"/>
                <w:lang w:val="en"/>
              </w:rPr>
              <w:t>Neonate where Maternal Vitamin D status is unknown</w:t>
            </w:r>
          </w:p>
        </w:tc>
        <w:tc>
          <w:tcPr>
            <w:tcW w:w="1417" w:type="dxa"/>
            <w:shd w:val="clear" w:color="auto" w:fill="auto"/>
          </w:tcPr>
          <w:p w14:paraId="3EDE804F"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bCs/>
                <w:sz w:val="20"/>
                <w:szCs w:val="20"/>
                <w:lang w:val="en"/>
              </w:rPr>
              <w:t>All breastfed neonates of veiled or dark- skinned mothers</w:t>
            </w:r>
          </w:p>
        </w:tc>
        <w:tc>
          <w:tcPr>
            <w:tcW w:w="6521" w:type="dxa"/>
            <w:shd w:val="clear" w:color="auto" w:fill="auto"/>
          </w:tcPr>
          <w:p w14:paraId="78ED3BD9" w14:textId="77777777" w:rsidR="00D64801" w:rsidRPr="00BA1B7B" w:rsidRDefault="00D64801" w:rsidP="00D64801">
            <w:pPr>
              <w:pStyle w:val="NormalWeb"/>
              <w:spacing w:before="0" w:beforeAutospacing="0" w:after="0" w:afterAutospacing="0"/>
              <w:rPr>
                <w:rFonts w:ascii="Arial" w:hAnsi="Arial" w:cs="Arial"/>
                <w:sz w:val="20"/>
                <w:szCs w:val="20"/>
                <w:lang w:val="en"/>
              </w:rPr>
            </w:pPr>
            <w:r w:rsidRPr="00BA1B7B">
              <w:rPr>
                <w:rFonts w:ascii="Arial" w:hAnsi="Arial" w:cs="Arial"/>
                <w:bCs/>
                <w:sz w:val="20"/>
                <w:szCs w:val="20"/>
                <w:lang w:val="en"/>
              </w:rPr>
              <w:t xml:space="preserve">Colecalciferol (cholecalciferol) drops 400 us (eg Ostevit D </w:t>
            </w:r>
            <w:r w:rsidRPr="00BA1B7B">
              <w:rPr>
                <w:rFonts w:ascii="Arial" w:hAnsi="Arial" w:cs="Arial"/>
                <w:sz w:val="20"/>
                <w:szCs w:val="20"/>
                <w:lang w:val="en"/>
              </w:rPr>
              <w:t>2 drops</w:t>
            </w:r>
            <w:r w:rsidRPr="00BA1B7B">
              <w:rPr>
                <w:rFonts w:ascii="Arial" w:hAnsi="Arial" w:cs="Arial"/>
                <w:bCs/>
                <w:sz w:val="20"/>
                <w:szCs w:val="20"/>
                <w:lang w:val="en"/>
              </w:rPr>
              <w:t>) from day 2 of life until ≥12months old </w:t>
            </w:r>
          </w:p>
        </w:tc>
      </w:tr>
    </w:tbl>
    <w:p w14:paraId="596400CA" w14:textId="77777777" w:rsidR="00D64801" w:rsidRPr="00BA1B7B" w:rsidRDefault="00D64801" w:rsidP="00D64801">
      <w:pPr>
        <w:spacing w:line="276" w:lineRule="auto"/>
        <w:rPr>
          <w:rFonts w:ascii="Arial" w:hAnsi="Arial" w:cs="Arial"/>
          <w:sz w:val="20"/>
          <w:szCs w:val="20"/>
        </w:rPr>
      </w:pPr>
    </w:p>
    <w:p w14:paraId="6C7F2CC8"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There is no need to supplement the newborn with vitamin D if :</w:t>
      </w:r>
    </w:p>
    <w:p w14:paraId="65E5E7F8" w14:textId="77777777" w:rsidR="00D64801" w:rsidRPr="00BA1B7B" w:rsidRDefault="00D64801" w:rsidP="004A22FD">
      <w:pPr>
        <w:pStyle w:val="ListParagraph"/>
        <w:numPr>
          <w:ilvl w:val="0"/>
          <w:numId w:val="58"/>
        </w:numPr>
        <w:spacing w:line="276" w:lineRule="auto"/>
        <w:rPr>
          <w:rFonts w:ascii="Arial" w:hAnsi="Arial" w:cs="Arial"/>
          <w:sz w:val="20"/>
          <w:szCs w:val="20"/>
        </w:rPr>
      </w:pPr>
      <w:r w:rsidRPr="00BA1B7B">
        <w:rPr>
          <w:rFonts w:ascii="Arial" w:hAnsi="Arial" w:cs="Arial"/>
          <w:sz w:val="20"/>
          <w:szCs w:val="20"/>
        </w:rPr>
        <w:t>the mother is breast feeding and her pregnancy results were ≥ 50 nmol/L</w:t>
      </w:r>
    </w:p>
    <w:p w14:paraId="400103EA" w14:textId="77777777" w:rsidR="00D64801" w:rsidRPr="00BA1B7B" w:rsidRDefault="00D64801" w:rsidP="004A22FD">
      <w:pPr>
        <w:pStyle w:val="ListParagraph"/>
        <w:numPr>
          <w:ilvl w:val="0"/>
          <w:numId w:val="58"/>
        </w:numPr>
        <w:spacing w:line="276" w:lineRule="auto"/>
        <w:rPr>
          <w:rFonts w:ascii="Arial" w:hAnsi="Arial" w:cs="Arial"/>
          <w:sz w:val="20"/>
          <w:szCs w:val="20"/>
        </w:rPr>
      </w:pPr>
      <w:r w:rsidRPr="00BA1B7B">
        <w:rPr>
          <w:rFonts w:ascii="Arial" w:hAnsi="Arial" w:cs="Arial"/>
          <w:sz w:val="20"/>
          <w:szCs w:val="20"/>
        </w:rPr>
        <w:t>the mother is breastfeeding and she had no risk factors (not tested)</w:t>
      </w:r>
    </w:p>
    <w:p w14:paraId="01FFF44A" w14:textId="77777777" w:rsidR="00D64801" w:rsidRPr="00BA1B7B" w:rsidRDefault="00D64801" w:rsidP="004A22FD">
      <w:pPr>
        <w:pStyle w:val="ListParagraph"/>
        <w:numPr>
          <w:ilvl w:val="0"/>
          <w:numId w:val="58"/>
        </w:numPr>
        <w:spacing w:line="276" w:lineRule="auto"/>
        <w:rPr>
          <w:rFonts w:ascii="Arial" w:hAnsi="Arial" w:cs="Arial"/>
          <w:sz w:val="20"/>
          <w:szCs w:val="20"/>
        </w:rPr>
      </w:pPr>
      <w:r w:rsidRPr="00BA1B7B">
        <w:rPr>
          <w:rFonts w:ascii="Arial" w:hAnsi="Arial" w:cs="Arial"/>
          <w:sz w:val="20"/>
          <w:szCs w:val="20"/>
        </w:rPr>
        <w:t>the mother is breastfeeding and has taken adequate vitamin D supplementation throughout pregnancy / third trimester.</w:t>
      </w:r>
    </w:p>
    <w:p w14:paraId="534B6AE9" w14:textId="77777777" w:rsidR="00D64801" w:rsidRPr="00BA1B7B" w:rsidRDefault="00D64801" w:rsidP="004A22FD">
      <w:pPr>
        <w:pStyle w:val="ListParagraph"/>
        <w:numPr>
          <w:ilvl w:val="0"/>
          <w:numId w:val="58"/>
        </w:numPr>
        <w:spacing w:line="276" w:lineRule="auto"/>
        <w:rPr>
          <w:rFonts w:ascii="Arial" w:hAnsi="Arial" w:cs="Arial"/>
          <w:sz w:val="20"/>
          <w:szCs w:val="20"/>
        </w:rPr>
      </w:pPr>
      <w:r w:rsidRPr="00BA1B7B">
        <w:rPr>
          <w:rFonts w:ascii="Arial" w:hAnsi="Arial" w:cs="Arial"/>
          <w:sz w:val="20"/>
          <w:szCs w:val="20"/>
        </w:rPr>
        <w:t>the baby is exclusively formula feeding (with a vitamin fortified formula).</w:t>
      </w:r>
    </w:p>
    <w:p w14:paraId="0F51570C" w14:textId="77777777" w:rsidR="00D64801" w:rsidRPr="00BA1B7B" w:rsidRDefault="00D64801" w:rsidP="00D64801">
      <w:pPr>
        <w:spacing w:line="276" w:lineRule="auto"/>
        <w:rPr>
          <w:rFonts w:ascii="Arial" w:hAnsi="Arial" w:cs="Arial"/>
          <w:sz w:val="20"/>
          <w:szCs w:val="20"/>
        </w:rPr>
      </w:pPr>
      <w:r w:rsidRPr="00BA1B7B">
        <w:rPr>
          <w:rFonts w:ascii="Arial" w:hAnsi="Arial" w:cs="Arial"/>
          <w:sz w:val="20"/>
          <w:szCs w:val="20"/>
        </w:rPr>
        <w:t>Immunizations</w:t>
      </w:r>
    </w:p>
    <w:p w14:paraId="3E852F24" w14:textId="77777777" w:rsidR="00D64801" w:rsidRPr="00BA1B7B" w:rsidRDefault="00D64801" w:rsidP="004A22FD">
      <w:pPr>
        <w:pStyle w:val="ListParagraph"/>
        <w:numPr>
          <w:ilvl w:val="0"/>
          <w:numId w:val="59"/>
        </w:numPr>
        <w:spacing w:line="276" w:lineRule="auto"/>
        <w:rPr>
          <w:rFonts w:ascii="Arial" w:hAnsi="Arial" w:cs="Arial"/>
          <w:sz w:val="20"/>
          <w:szCs w:val="20"/>
        </w:rPr>
      </w:pPr>
      <w:r w:rsidRPr="00BA1B7B">
        <w:rPr>
          <w:rFonts w:ascii="Arial" w:hAnsi="Arial" w:cs="Arial"/>
          <w:sz w:val="20"/>
          <w:szCs w:val="20"/>
        </w:rPr>
        <w:t xml:space="preserve">Parents/Guardians should be encouraged to follow the recommended schedule of infant and childhood immunizations as per the National Health and Medical Research council guidelines. </w:t>
      </w:r>
    </w:p>
    <w:bookmarkEnd w:id="94"/>
    <w:p w14:paraId="166E525F" w14:textId="06EA17AC" w:rsidR="00D64801" w:rsidRPr="00BA1B7B" w:rsidRDefault="00D64801" w:rsidP="00D64801">
      <w:pPr>
        <w:rPr>
          <w:rFonts w:ascii="Arial" w:hAnsi="Arial" w:cs="Arial"/>
          <w:b/>
          <w:bCs/>
          <w:sz w:val="20"/>
          <w:szCs w:val="20"/>
        </w:rPr>
      </w:pPr>
      <w:r w:rsidRPr="00BA1B7B">
        <w:rPr>
          <w:rFonts w:ascii="Arial" w:hAnsi="Arial" w:cs="Arial"/>
          <w:b/>
          <w:bCs/>
          <w:sz w:val="20"/>
          <w:szCs w:val="20"/>
        </w:rPr>
        <w:t>Useful Post-</w:t>
      </w:r>
      <w:r w:rsidR="007A209E" w:rsidRPr="00BA1B7B">
        <w:rPr>
          <w:rFonts w:ascii="Arial" w:hAnsi="Arial" w:cs="Arial"/>
          <w:b/>
          <w:bCs/>
          <w:sz w:val="20"/>
          <w:szCs w:val="20"/>
        </w:rPr>
        <w:t>partum</w:t>
      </w:r>
      <w:r w:rsidRPr="00BA1B7B">
        <w:rPr>
          <w:rFonts w:ascii="Arial" w:hAnsi="Arial" w:cs="Arial"/>
          <w:b/>
          <w:bCs/>
          <w:sz w:val="20"/>
          <w:szCs w:val="20"/>
        </w:rPr>
        <w:t xml:space="preserve"> Resources for GP and Women:</w:t>
      </w:r>
    </w:p>
    <w:p w14:paraId="215AB545" w14:textId="77777777" w:rsidR="00D64801" w:rsidRPr="00BA1B7B" w:rsidRDefault="00D64801" w:rsidP="00D64801">
      <w:pPr>
        <w:rPr>
          <w:rFonts w:ascii="Arial" w:hAnsi="Arial" w:cs="Arial"/>
          <w:sz w:val="20"/>
          <w:szCs w:val="20"/>
        </w:rPr>
      </w:pPr>
      <w:bookmarkStart w:id="96" w:name="_Hlk49168482"/>
      <w:r w:rsidRPr="00BA1B7B">
        <w:rPr>
          <w:rFonts w:ascii="Arial" w:hAnsi="Arial" w:cs="Arial"/>
          <w:sz w:val="20"/>
          <w:szCs w:val="20"/>
        </w:rPr>
        <w:t>Women’s continence after pregnancy - Continence Foundation of Australia (2020)</w:t>
      </w:r>
    </w:p>
    <w:p w14:paraId="2FE8D8BB" w14:textId="77777777" w:rsidR="00D64801" w:rsidRPr="00BA1B7B" w:rsidRDefault="00A97F97" w:rsidP="00D64801">
      <w:pPr>
        <w:rPr>
          <w:rFonts w:ascii="Arial" w:hAnsi="Arial" w:cs="Arial"/>
          <w:sz w:val="20"/>
          <w:szCs w:val="20"/>
        </w:rPr>
      </w:pPr>
      <w:hyperlink r:id="rId170" w:history="1">
        <w:r w:rsidR="00D64801" w:rsidRPr="00BA1B7B">
          <w:rPr>
            <w:rStyle w:val="Hyperlink"/>
            <w:rFonts w:ascii="Arial" w:hAnsi="Arial" w:cs="Arial"/>
            <w:color w:val="auto"/>
            <w:sz w:val="20"/>
            <w:szCs w:val="20"/>
          </w:rPr>
          <w:t>https://www.continence.org.au/who-it-affects/women/pregnancy-and-childbirth</w:t>
        </w:r>
      </w:hyperlink>
    </w:p>
    <w:p w14:paraId="12CF4E69" w14:textId="77777777" w:rsidR="00D64801" w:rsidRPr="00BA1B7B" w:rsidRDefault="00D64801" w:rsidP="00D64801">
      <w:pPr>
        <w:rPr>
          <w:rFonts w:ascii="Arial" w:hAnsi="Arial" w:cs="Arial"/>
          <w:sz w:val="20"/>
          <w:szCs w:val="20"/>
        </w:rPr>
      </w:pPr>
    </w:p>
    <w:p w14:paraId="35FFC8C5" w14:textId="77777777" w:rsidR="00D64801" w:rsidRPr="00BA1B7B" w:rsidRDefault="00D64801" w:rsidP="00D64801">
      <w:pPr>
        <w:rPr>
          <w:rFonts w:ascii="Arial" w:hAnsi="Arial" w:cs="Arial"/>
          <w:sz w:val="20"/>
          <w:szCs w:val="20"/>
        </w:rPr>
      </w:pPr>
      <w:r w:rsidRPr="00BA1B7B">
        <w:rPr>
          <w:rFonts w:ascii="Arial" w:hAnsi="Arial" w:cs="Arial"/>
          <w:sz w:val="20"/>
          <w:szCs w:val="20"/>
        </w:rPr>
        <w:t xml:space="preserve">Dyspareunia causes and management - Jean Hailes foundation </w:t>
      </w:r>
    </w:p>
    <w:p w14:paraId="30C5F101" w14:textId="77777777" w:rsidR="00D64801" w:rsidRPr="00BA1B7B" w:rsidRDefault="00A97F97" w:rsidP="00D64801">
      <w:pPr>
        <w:rPr>
          <w:rFonts w:ascii="Arial" w:hAnsi="Arial" w:cs="Arial"/>
          <w:sz w:val="20"/>
          <w:szCs w:val="20"/>
        </w:rPr>
      </w:pPr>
      <w:hyperlink r:id="rId171" w:history="1">
        <w:r w:rsidR="00D64801" w:rsidRPr="00BA1B7B">
          <w:rPr>
            <w:rStyle w:val="Hyperlink"/>
            <w:rFonts w:ascii="Arial" w:hAnsi="Arial" w:cs="Arial"/>
            <w:color w:val="auto"/>
            <w:sz w:val="20"/>
            <w:szCs w:val="20"/>
          </w:rPr>
          <w:t>https://www.jeanhailes.org.au/health-a-z/sex-sexual-health/painful-sex-dyspareunia</w:t>
        </w:r>
      </w:hyperlink>
    </w:p>
    <w:p w14:paraId="34BB791F" w14:textId="77777777" w:rsidR="00D64801" w:rsidRPr="00BA1B7B" w:rsidRDefault="00D64801" w:rsidP="00D64801">
      <w:pPr>
        <w:rPr>
          <w:rFonts w:ascii="Arial" w:hAnsi="Arial" w:cs="Arial"/>
          <w:sz w:val="20"/>
          <w:szCs w:val="20"/>
        </w:rPr>
      </w:pPr>
    </w:p>
    <w:p w14:paraId="1722783A" w14:textId="77777777" w:rsidR="00D64801" w:rsidRPr="00BA1B7B" w:rsidRDefault="00D64801" w:rsidP="00D64801">
      <w:pPr>
        <w:rPr>
          <w:rFonts w:ascii="Arial" w:hAnsi="Arial" w:cs="Arial"/>
          <w:sz w:val="20"/>
          <w:szCs w:val="20"/>
        </w:rPr>
      </w:pPr>
      <w:r w:rsidRPr="00BA1B7B">
        <w:rPr>
          <w:rFonts w:ascii="Arial" w:hAnsi="Arial" w:cs="Arial"/>
          <w:sz w:val="20"/>
          <w:szCs w:val="20"/>
        </w:rPr>
        <w:t>Cervical Screening information – National Cervical Screening program</w:t>
      </w:r>
    </w:p>
    <w:p w14:paraId="206AF402" w14:textId="77777777" w:rsidR="00D64801" w:rsidRPr="00BA1B7B" w:rsidRDefault="00A97F97" w:rsidP="00D64801">
      <w:pPr>
        <w:rPr>
          <w:rFonts w:ascii="Arial" w:hAnsi="Arial" w:cs="Arial"/>
          <w:sz w:val="20"/>
          <w:szCs w:val="20"/>
        </w:rPr>
      </w:pPr>
      <w:hyperlink r:id="rId172" w:history="1">
        <w:r w:rsidR="00D64801" w:rsidRPr="00BA1B7B">
          <w:rPr>
            <w:rStyle w:val="Hyperlink"/>
            <w:rFonts w:ascii="Arial" w:hAnsi="Arial" w:cs="Arial"/>
            <w:color w:val="auto"/>
            <w:sz w:val="20"/>
            <w:szCs w:val="20"/>
          </w:rPr>
          <w:t>http://www.cancerscreening.gov.au/internet/screening/publishing.nsf/Content/cervical-screening-1</w:t>
        </w:r>
      </w:hyperlink>
    </w:p>
    <w:p w14:paraId="421FA746" w14:textId="77777777" w:rsidR="00D64801" w:rsidRPr="00BA1B7B" w:rsidRDefault="00D64801" w:rsidP="00D64801">
      <w:pPr>
        <w:rPr>
          <w:rFonts w:ascii="Arial" w:hAnsi="Arial" w:cs="Arial"/>
          <w:sz w:val="20"/>
          <w:szCs w:val="20"/>
        </w:rPr>
      </w:pPr>
    </w:p>
    <w:p w14:paraId="53610B42" w14:textId="77777777" w:rsidR="00D64801" w:rsidRPr="00BA1B7B" w:rsidRDefault="00D64801" w:rsidP="00D64801">
      <w:pPr>
        <w:rPr>
          <w:rFonts w:ascii="Arial" w:hAnsi="Arial" w:cs="Arial"/>
          <w:sz w:val="20"/>
          <w:szCs w:val="20"/>
        </w:rPr>
      </w:pPr>
      <w:r w:rsidRPr="00BA1B7B">
        <w:rPr>
          <w:rFonts w:ascii="Arial" w:hAnsi="Arial" w:cs="Arial"/>
          <w:sz w:val="20"/>
          <w:szCs w:val="20"/>
        </w:rPr>
        <w:t>Perinatal Anxiety and Depression Australia</w:t>
      </w:r>
    </w:p>
    <w:p w14:paraId="4CF9D338" w14:textId="77777777" w:rsidR="00D64801" w:rsidRPr="00BA1B7B" w:rsidRDefault="00A97F97" w:rsidP="00D64801">
      <w:pPr>
        <w:rPr>
          <w:rStyle w:val="Hyperlink"/>
          <w:rFonts w:ascii="Arial" w:hAnsi="Arial" w:cs="Arial"/>
          <w:color w:val="auto"/>
          <w:sz w:val="20"/>
          <w:szCs w:val="20"/>
        </w:rPr>
      </w:pPr>
      <w:hyperlink r:id="rId173" w:history="1">
        <w:r w:rsidR="00D64801" w:rsidRPr="00BA1B7B">
          <w:rPr>
            <w:rStyle w:val="Hyperlink"/>
            <w:rFonts w:ascii="Arial" w:hAnsi="Arial" w:cs="Arial"/>
            <w:color w:val="auto"/>
            <w:sz w:val="20"/>
            <w:szCs w:val="20"/>
          </w:rPr>
          <w:t>https://www.panda.org.au/</w:t>
        </w:r>
      </w:hyperlink>
    </w:p>
    <w:p w14:paraId="2728E8EE" w14:textId="77777777" w:rsidR="00D64801" w:rsidRPr="00BA1B7B" w:rsidRDefault="00D64801" w:rsidP="00D64801">
      <w:pPr>
        <w:rPr>
          <w:rFonts w:ascii="Arial" w:hAnsi="Arial" w:cs="Arial"/>
          <w:sz w:val="20"/>
          <w:szCs w:val="20"/>
        </w:rPr>
      </w:pPr>
    </w:p>
    <w:p w14:paraId="677CC747" w14:textId="77777777" w:rsidR="00D64801" w:rsidRPr="00BA1B7B" w:rsidRDefault="00D64801" w:rsidP="00D64801">
      <w:pPr>
        <w:rPr>
          <w:rFonts w:ascii="Arial" w:hAnsi="Arial" w:cs="Arial"/>
          <w:sz w:val="20"/>
          <w:szCs w:val="20"/>
        </w:rPr>
      </w:pPr>
      <w:r w:rsidRPr="00BA1B7B">
        <w:rPr>
          <w:rFonts w:ascii="Arial" w:hAnsi="Arial" w:cs="Arial"/>
          <w:sz w:val="20"/>
          <w:szCs w:val="20"/>
        </w:rPr>
        <w:t>Beyond Blue – Pregnancy and new parents</w:t>
      </w:r>
    </w:p>
    <w:p w14:paraId="38F5E04F" w14:textId="77777777" w:rsidR="00D64801" w:rsidRPr="00BA1B7B" w:rsidRDefault="00A97F97" w:rsidP="00D64801">
      <w:pPr>
        <w:rPr>
          <w:rFonts w:ascii="Arial" w:hAnsi="Arial" w:cs="Arial"/>
          <w:sz w:val="20"/>
          <w:szCs w:val="20"/>
        </w:rPr>
      </w:pPr>
      <w:hyperlink r:id="rId174" w:history="1">
        <w:r w:rsidR="00D64801" w:rsidRPr="00BA1B7B">
          <w:rPr>
            <w:rFonts w:ascii="Arial" w:hAnsi="Arial" w:cs="Arial"/>
            <w:sz w:val="20"/>
            <w:szCs w:val="20"/>
            <w:u w:val="single"/>
          </w:rPr>
          <w:t>https://healthyfamilies.beyondblue.org.au/pregnancy-and-new-parents</w:t>
        </w:r>
      </w:hyperlink>
    </w:p>
    <w:p w14:paraId="4BAB17A8" w14:textId="77777777" w:rsidR="00D64801" w:rsidRPr="00BA1B7B" w:rsidRDefault="00D64801" w:rsidP="00D64801">
      <w:pPr>
        <w:rPr>
          <w:rFonts w:ascii="Arial" w:hAnsi="Arial" w:cs="Arial"/>
          <w:sz w:val="20"/>
          <w:szCs w:val="20"/>
        </w:rPr>
      </w:pPr>
    </w:p>
    <w:p w14:paraId="7DB76384" w14:textId="77777777" w:rsidR="00D64801" w:rsidRPr="00BA1B7B" w:rsidRDefault="00D64801" w:rsidP="00D64801">
      <w:pPr>
        <w:rPr>
          <w:rFonts w:ascii="Arial" w:hAnsi="Arial" w:cs="Arial"/>
          <w:sz w:val="20"/>
          <w:szCs w:val="20"/>
        </w:rPr>
      </w:pPr>
      <w:r w:rsidRPr="00BA1B7B">
        <w:rPr>
          <w:rFonts w:ascii="Arial" w:hAnsi="Arial" w:cs="Arial"/>
          <w:sz w:val="20"/>
          <w:szCs w:val="20"/>
        </w:rPr>
        <w:t>National Immunization Program Schedule</w:t>
      </w:r>
    </w:p>
    <w:p w14:paraId="7F71B6D6" w14:textId="77777777" w:rsidR="00D64801" w:rsidRPr="00BA1B7B" w:rsidRDefault="00A97F97" w:rsidP="00D64801">
      <w:pPr>
        <w:rPr>
          <w:rFonts w:ascii="Arial" w:hAnsi="Arial" w:cs="Arial"/>
          <w:sz w:val="20"/>
          <w:szCs w:val="20"/>
        </w:rPr>
      </w:pPr>
      <w:hyperlink r:id="rId175" w:history="1">
        <w:r w:rsidR="00D64801" w:rsidRPr="00BA1B7B">
          <w:rPr>
            <w:rStyle w:val="Hyperlink"/>
            <w:rFonts w:ascii="Arial" w:hAnsi="Arial" w:cs="Arial"/>
            <w:color w:val="auto"/>
            <w:sz w:val="20"/>
            <w:szCs w:val="20"/>
          </w:rPr>
          <w:t>https://www.health.gov.au/health-topics/immunization</w:t>
        </w:r>
      </w:hyperlink>
    </w:p>
    <w:p w14:paraId="4880218F" w14:textId="77777777" w:rsidR="00D64801" w:rsidRPr="00BA1B7B" w:rsidRDefault="00D64801" w:rsidP="00D64801">
      <w:pPr>
        <w:rPr>
          <w:rFonts w:ascii="Arial" w:hAnsi="Arial" w:cs="Arial"/>
          <w:sz w:val="20"/>
          <w:szCs w:val="20"/>
        </w:rPr>
      </w:pPr>
    </w:p>
    <w:p w14:paraId="7694417D" w14:textId="77777777" w:rsidR="00D64801" w:rsidRPr="00BA1B7B" w:rsidRDefault="00D64801" w:rsidP="00D64801">
      <w:pPr>
        <w:rPr>
          <w:rFonts w:ascii="Arial" w:hAnsi="Arial" w:cs="Arial"/>
          <w:sz w:val="20"/>
          <w:szCs w:val="20"/>
        </w:rPr>
      </w:pPr>
      <w:r w:rsidRPr="00BA1B7B">
        <w:rPr>
          <w:rFonts w:ascii="Arial" w:hAnsi="Arial" w:cs="Arial"/>
          <w:sz w:val="20"/>
          <w:szCs w:val="20"/>
        </w:rPr>
        <w:t>Safe Sleeping and Safe home environment for infants</w:t>
      </w:r>
    </w:p>
    <w:p w14:paraId="30A150BF" w14:textId="77777777" w:rsidR="00D64801" w:rsidRPr="00BA1B7B" w:rsidRDefault="00A97F97" w:rsidP="00D64801">
      <w:pPr>
        <w:rPr>
          <w:rFonts w:ascii="Arial" w:hAnsi="Arial" w:cs="Arial"/>
          <w:sz w:val="20"/>
          <w:szCs w:val="20"/>
        </w:rPr>
      </w:pPr>
      <w:hyperlink r:id="rId176" w:history="1">
        <w:r w:rsidR="00D64801" w:rsidRPr="00BA1B7B">
          <w:rPr>
            <w:rStyle w:val="Hyperlink"/>
            <w:rFonts w:ascii="Arial" w:hAnsi="Arial" w:cs="Arial"/>
            <w:color w:val="auto"/>
            <w:sz w:val="20"/>
            <w:szCs w:val="20"/>
          </w:rPr>
          <w:t>https://rednose.org.au/</w:t>
        </w:r>
      </w:hyperlink>
    </w:p>
    <w:p w14:paraId="37A37E70" w14:textId="77777777" w:rsidR="00D64801" w:rsidRPr="00BA1B7B" w:rsidRDefault="00D64801" w:rsidP="00D64801">
      <w:pPr>
        <w:rPr>
          <w:rFonts w:ascii="Arial" w:hAnsi="Arial" w:cs="Arial"/>
          <w:sz w:val="20"/>
          <w:szCs w:val="20"/>
        </w:rPr>
      </w:pPr>
    </w:p>
    <w:p w14:paraId="16365A5E" w14:textId="77777777" w:rsidR="00D64801" w:rsidRPr="00BA1B7B" w:rsidRDefault="00D64801" w:rsidP="00D64801">
      <w:pPr>
        <w:rPr>
          <w:rFonts w:ascii="Arial" w:hAnsi="Arial" w:cs="Arial"/>
          <w:sz w:val="20"/>
          <w:szCs w:val="20"/>
        </w:rPr>
      </w:pPr>
      <w:r w:rsidRPr="00BA1B7B">
        <w:rPr>
          <w:rFonts w:ascii="Arial" w:hAnsi="Arial" w:cs="Arial"/>
          <w:sz w:val="20"/>
          <w:szCs w:val="20"/>
        </w:rPr>
        <w:t>Domestic Violence and Partner Violence supports</w:t>
      </w:r>
    </w:p>
    <w:p w14:paraId="3E358D28" w14:textId="77777777" w:rsidR="00D64801" w:rsidRPr="00BA1B7B" w:rsidRDefault="00A97F97" w:rsidP="00D64801">
      <w:pPr>
        <w:rPr>
          <w:rFonts w:ascii="Arial" w:hAnsi="Arial" w:cs="Arial"/>
          <w:sz w:val="20"/>
          <w:szCs w:val="20"/>
        </w:rPr>
      </w:pPr>
      <w:hyperlink r:id="rId177" w:history="1">
        <w:r w:rsidR="00D64801" w:rsidRPr="00BA1B7B">
          <w:rPr>
            <w:rStyle w:val="Hyperlink"/>
            <w:rFonts w:ascii="Arial" w:hAnsi="Arial" w:cs="Arial"/>
            <w:color w:val="auto"/>
            <w:sz w:val="20"/>
            <w:szCs w:val="20"/>
          </w:rPr>
          <w:t>https://www.1800respect.org.au/</w:t>
        </w:r>
      </w:hyperlink>
    </w:p>
    <w:p w14:paraId="27751C89" w14:textId="3B64AC75" w:rsidR="00D64801" w:rsidRDefault="00A97F97" w:rsidP="00D64801">
      <w:pPr>
        <w:rPr>
          <w:rStyle w:val="Hyperlink"/>
          <w:rFonts w:ascii="Arial" w:hAnsi="Arial" w:cs="Arial"/>
          <w:color w:val="auto"/>
          <w:sz w:val="20"/>
          <w:szCs w:val="20"/>
        </w:rPr>
      </w:pPr>
      <w:hyperlink r:id="rId178" w:history="1">
        <w:r w:rsidR="00D64801" w:rsidRPr="00BA1B7B">
          <w:rPr>
            <w:rStyle w:val="Hyperlink"/>
            <w:rFonts w:ascii="Arial" w:hAnsi="Arial" w:cs="Arial"/>
            <w:color w:val="auto"/>
            <w:sz w:val="20"/>
            <w:szCs w:val="20"/>
          </w:rPr>
          <w:t>https://www.safesteps.org.au/</w:t>
        </w:r>
      </w:hyperlink>
    </w:p>
    <w:p w14:paraId="2038D906" w14:textId="5D5C14EC" w:rsidR="0057448F" w:rsidRDefault="0057448F" w:rsidP="00D64801">
      <w:pPr>
        <w:rPr>
          <w:rStyle w:val="Hyperlink"/>
          <w:rFonts w:ascii="Arial" w:hAnsi="Arial" w:cs="Arial"/>
          <w:color w:val="auto"/>
          <w:sz w:val="20"/>
          <w:szCs w:val="20"/>
        </w:rPr>
      </w:pPr>
    </w:p>
    <w:p w14:paraId="309B8158" w14:textId="603D1E1F" w:rsidR="0057448F" w:rsidRDefault="0057448F" w:rsidP="00D64801">
      <w:pPr>
        <w:rPr>
          <w:rStyle w:val="Hyperlink"/>
          <w:rFonts w:ascii="Arial" w:hAnsi="Arial" w:cs="Arial"/>
          <w:color w:val="auto"/>
          <w:sz w:val="20"/>
          <w:szCs w:val="20"/>
        </w:rPr>
      </w:pPr>
    </w:p>
    <w:p w14:paraId="23B96FE4" w14:textId="216F489B" w:rsidR="0057448F" w:rsidRDefault="0057448F" w:rsidP="00D64801">
      <w:pPr>
        <w:rPr>
          <w:rStyle w:val="Hyperlink"/>
          <w:rFonts w:ascii="Arial" w:hAnsi="Arial" w:cs="Arial"/>
          <w:color w:val="auto"/>
          <w:sz w:val="20"/>
          <w:szCs w:val="20"/>
        </w:rPr>
      </w:pPr>
    </w:p>
    <w:p w14:paraId="45411E07" w14:textId="2871E5B0" w:rsidR="0057448F" w:rsidRDefault="0057448F" w:rsidP="00D64801">
      <w:pPr>
        <w:rPr>
          <w:rStyle w:val="Hyperlink"/>
          <w:rFonts w:ascii="Arial" w:hAnsi="Arial" w:cs="Arial"/>
          <w:color w:val="auto"/>
          <w:sz w:val="20"/>
          <w:szCs w:val="20"/>
        </w:rPr>
      </w:pPr>
    </w:p>
    <w:p w14:paraId="34855A12" w14:textId="5D047EE1" w:rsidR="0057448F" w:rsidRDefault="0057448F" w:rsidP="00D64801">
      <w:pPr>
        <w:rPr>
          <w:rStyle w:val="Hyperlink"/>
          <w:rFonts w:ascii="Arial" w:hAnsi="Arial" w:cs="Arial"/>
          <w:color w:val="auto"/>
          <w:sz w:val="20"/>
          <w:szCs w:val="20"/>
        </w:rPr>
      </w:pPr>
    </w:p>
    <w:p w14:paraId="108463A5" w14:textId="7B19CCF4" w:rsidR="0057448F" w:rsidRDefault="0057448F" w:rsidP="00D64801">
      <w:pPr>
        <w:rPr>
          <w:rStyle w:val="Hyperlink"/>
          <w:rFonts w:ascii="Arial" w:hAnsi="Arial" w:cs="Arial"/>
          <w:color w:val="auto"/>
          <w:sz w:val="20"/>
          <w:szCs w:val="20"/>
        </w:rPr>
      </w:pPr>
    </w:p>
    <w:p w14:paraId="27D8AE91" w14:textId="41244A8F" w:rsidR="0057448F" w:rsidRDefault="0057448F" w:rsidP="00D64801">
      <w:pPr>
        <w:rPr>
          <w:rStyle w:val="Hyperlink"/>
          <w:rFonts w:ascii="Arial" w:hAnsi="Arial" w:cs="Arial"/>
          <w:color w:val="auto"/>
          <w:sz w:val="20"/>
          <w:szCs w:val="20"/>
        </w:rPr>
      </w:pPr>
    </w:p>
    <w:p w14:paraId="284D32B5" w14:textId="305116E1" w:rsidR="0057448F" w:rsidRDefault="0057448F" w:rsidP="00D64801">
      <w:pPr>
        <w:rPr>
          <w:rStyle w:val="Hyperlink"/>
          <w:rFonts w:ascii="Arial" w:hAnsi="Arial" w:cs="Arial"/>
          <w:color w:val="auto"/>
          <w:sz w:val="20"/>
          <w:szCs w:val="20"/>
        </w:rPr>
      </w:pPr>
    </w:p>
    <w:p w14:paraId="31E78F5B" w14:textId="6F91C84C" w:rsidR="0057448F" w:rsidRDefault="0057448F" w:rsidP="00D64801">
      <w:pPr>
        <w:rPr>
          <w:rStyle w:val="Hyperlink"/>
          <w:rFonts w:ascii="Arial" w:hAnsi="Arial" w:cs="Arial"/>
          <w:color w:val="auto"/>
          <w:sz w:val="20"/>
          <w:szCs w:val="20"/>
        </w:rPr>
      </w:pPr>
    </w:p>
    <w:p w14:paraId="46BE0D3C" w14:textId="30324A87" w:rsidR="0057448F" w:rsidRDefault="0057448F" w:rsidP="00D64801">
      <w:pPr>
        <w:rPr>
          <w:rStyle w:val="Hyperlink"/>
          <w:rFonts w:ascii="Arial" w:hAnsi="Arial" w:cs="Arial"/>
          <w:color w:val="auto"/>
          <w:sz w:val="20"/>
          <w:szCs w:val="20"/>
        </w:rPr>
      </w:pPr>
    </w:p>
    <w:p w14:paraId="1461F84F" w14:textId="3C915353" w:rsidR="0057448F" w:rsidRDefault="0057448F" w:rsidP="00D64801">
      <w:pPr>
        <w:rPr>
          <w:rStyle w:val="Hyperlink"/>
          <w:rFonts w:ascii="Arial" w:hAnsi="Arial" w:cs="Arial"/>
          <w:color w:val="auto"/>
          <w:sz w:val="20"/>
          <w:szCs w:val="20"/>
        </w:rPr>
      </w:pPr>
    </w:p>
    <w:p w14:paraId="2E367125" w14:textId="3B129E92" w:rsidR="0057448F" w:rsidRDefault="0057448F" w:rsidP="00D64801">
      <w:pPr>
        <w:rPr>
          <w:rStyle w:val="Hyperlink"/>
          <w:rFonts w:ascii="Arial" w:hAnsi="Arial" w:cs="Arial"/>
          <w:color w:val="auto"/>
          <w:sz w:val="20"/>
          <w:szCs w:val="20"/>
        </w:rPr>
      </w:pPr>
    </w:p>
    <w:p w14:paraId="545A2B38" w14:textId="26057223" w:rsidR="0057448F" w:rsidRDefault="0057448F" w:rsidP="00D64801">
      <w:pPr>
        <w:rPr>
          <w:rStyle w:val="Hyperlink"/>
          <w:rFonts w:ascii="Arial" w:hAnsi="Arial" w:cs="Arial"/>
          <w:color w:val="auto"/>
          <w:sz w:val="20"/>
          <w:szCs w:val="20"/>
        </w:rPr>
      </w:pPr>
    </w:p>
    <w:p w14:paraId="39F87777" w14:textId="77B26C62" w:rsidR="0057448F" w:rsidRDefault="0057448F" w:rsidP="00D64801">
      <w:pPr>
        <w:rPr>
          <w:rStyle w:val="Hyperlink"/>
          <w:rFonts w:ascii="Arial" w:hAnsi="Arial" w:cs="Arial"/>
          <w:color w:val="auto"/>
          <w:sz w:val="20"/>
          <w:szCs w:val="20"/>
        </w:rPr>
      </w:pPr>
    </w:p>
    <w:p w14:paraId="12F4F120" w14:textId="7CE7C7CF" w:rsidR="0057448F" w:rsidRDefault="0057448F" w:rsidP="00D64801">
      <w:pPr>
        <w:rPr>
          <w:rStyle w:val="Hyperlink"/>
          <w:rFonts w:ascii="Arial" w:hAnsi="Arial" w:cs="Arial"/>
          <w:color w:val="auto"/>
          <w:sz w:val="20"/>
          <w:szCs w:val="20"/>
        </w:rPr>
      </w:pPr>
    </w:p>
    <w:p w14:paraId="62E94024" w14:textId="41FC0067" w:rsidR="0057448F" w:rsidRDefault="0057448F" w:rsidP="00D64801">
      <w:pPr>
        <w:rPr>
          <w:rStyle w:val="Hyperlink"/>
          <w:rFonts w:ascii="Arial" w:hAnsi="Arial" w:cs="Arial"/>
          <w:color w:val="auto"/>
          <w:sz w:val="20"/>
          <w:szCs w:val="20"/>
        </w:rPr>
      </w:pPr>
    </w:p>
    <w:p w14:paraId="7BA83699" w14:textId="00EBE580" w:rsidR="0057448F" w:rsidRDefault="0057448F" w:rsidP="00D64801">
      <w:pPr>
        <w:rPr>
          <w:rStyle w:val="Hyperlink"/>
          <w:rFonts w:ascii="Arial" w:hAnsi="Arial" w:cs="Arial"/>
          <w:color w:val="auto"/>
          <w:sz w:val="20"/>
          <w:szCs w:val="20"/>
        </w:rPr>
      </w:pPr>
    </w:p>
    <w:p w14:paraId="74D010CD" w14:textId="69BE837B" w:rsidR="0057448F" w:rsidRDefault="0057448F" w:rsidP="00D64801">
      <w:pPr>
        <w:rPr>
          <w:rStyle w:val="Hyperlink"/>
          <w:rFonts w:ascii="Arial" w:hAnsi="Arial" w:cs="Arial"/>
          <w:color w:val="auto"/>
          <w:sz w:val="20"/>
          <w:szCs w:val="20"/>
        </w:rPr>
      </w:pPr>
    </w:p>
    <w:p w14:paraId="4CC6F494" w14:textId="68F2BCC4" w:rsidR="0057448F" w:rsidRDefault="0057448F" w:rsidP="00D64801">
      <w:pPr>
        <w:rPr>
          <w:rStyle w:val="Hyperlink"/>
          <w:rFonts w:ascii="Arial" w:hAnsi="Arial" w:cs="Arial"/>
          <w:color w:val="auto"/>
          <w:sz w:val="20"/>
          <w:szCs w:val="20"/>
        </w:rPr>
      </w:pPr>
    </w:p>
    <w:p w14:paraId="4340A7BC" w14:textId="2B3835DF" w:rsidR="0057448F" w:rsidRDefault="0057448F" w:rsidP="00D64801">
      <w:pPr>
        <w:rPr>
          <w:rStyle w:val="Hyperlink"/>
          <w:rFonts w:ascii="Arial" w:hAnsi="Arial" w:cs="Arial"/>
          <w:color w:val="auto"/>
          <w:sz w:val="20"/>
          <w:szCs w:val="20"/>
        </w:rPr>
      </w:pPr>
    </w:p>
    <w:p w14:paraId="26777DD6" w14:textId="51BD00D6" w:rsidR="0057448F" w:rsidRDefault="0057448F" w:rsidP="00D64801">
      <w:pPr>
        <w:rPr>
          <w:rStyle w:val="Hyperlink"/>
          <w:rFonts w:ascii="Arial" w:hAnsi="Arial" w:cs="Arial"/>
          <w:color w:val="auto"/>
          <w:sz w:val="20"/>
          <w:szCs w:val="20"/>
        </w:rPr>
      </w:pPr>
    </w:p>
    <w:p w14:paraId="5AD5EA15" w14:textId="5AB13FD1" w:rsidR="0057448F" w:rsidRDefault="0057448F" w:rsidP="00D64801">
      <w:pPr>
        <w:rPr>
          <w:rStyle w:val="Hyperlink"/>
          <w:rFonts w:ascii="Arial" w:hAnsi="Arial" w:cs="Arial"/>
          <w:color w:val="auto"/>
          <w:sz w:val="20"/>
          <w:szCs w:val="20"/>
        </w:rPr>
      </w:pPr>
    </w:p>
    <w:p w14:paraId="5CEA16B5" w14:textId="0C73448B" w:rsidR="0057448F" w:rsidRDefault="0057448F" w:rsidP="00D64801">
      <w:pPr>
        <w:rPr>
          <w:rStyle w:val="Hyperlink"/>
          <w:rFonts w:ascii="Arial" w:hAnsi="Arial" w:cs="Arial"/>
          <w:color w:val="auto"/>
          <w:sz w:val="20"/>
          <w:szCs w:val="20"/>
        </w:rPr>
      </w:pPr>
    </w:p>
    <w:p w14:paraId="3D1949C3" w14:textId="334C685A" w:rsidR="0057448F" w:rsidRDefault="0057448F" w:rsidP="00D64801">
      <w:pPr>
        <w:rPr>
          <w:rStyle w:val="Hyperlink"/>
          <w:rFonts w:ascii="Arial" w:hAnsi="Arial" w:cs="Arial"/>
          <w:color w:val="auto"/>
          <w:sz w:val="20"/>
          <w:szCs w:val="20"/>
        </w:rPr>
      </w:pPr>
    </w:p>
    <w:p w14:paraId="154C0270" w14:textId="7792D3EB" w:rsidR="0057448F" w:rsidRDefault="0057448F" w:rsidP="00D64801">
      <w:pPr>
        <w:rPr>
          <w:rStyle w:val="Hyperlink"/>
          <w:rFonts w:ascii="Arial" w:hAnsi="Arial" w:cs="Arial"/>
          <w:color w:val="auto"/>
          <w:sz w:val="20"/>
          <w:szCs w:val="20"/>
        </w:rPr>
      </w:pPr>
    </w:p>
    <w:p w14:paraId="56D8D9B4" w14:textId="4DCAA8EA" w:rsidR="0057448F" w:rsidRDefault="0057448F" w:rsidP="00D64801">
      <w:pPr>
        <w:rPr>
          <w:rStyle w:val="Hyperlink"/>
          <w:rFonts w:ascii="Arial" w:hAnsi="Arial" w:cs="Arial"/>
          <w:color w:val="auto"/>
          <w:sz w:val="20"/>
          <w:szCs w:val="20"/>
        </w:rPr>
      </w:pPr>
    </w:p>
    <w:p w14:paraId="72BEF05F" w14:textId="2915D431" w:rsidR="0057448F" w:rsidRDefault="0057448F" w:rsidP="00D64801">
      <w:pPr>
        <w:rPr>
          <w:rStyle w:val="Hyperlink"/>
          <w:rFonts w:ascii="Arial" w:hAnsi="Arial" w:cs="Arial"/>
          <w:color w:val="auto"/>
          <w:sz w:val="20"/>
          <w:szCs w:val="20"/>
        </w:rPr>
      </w:pPr>
    </w:p>
    <w:p w14:paraId="457A21B5" w14:textId="3C60F29C" w:rsidR="0057448F" w:rsidRDefault="0057448F" w:rsidP="00D64801">
      <w:pPr>
        <w:rPr>
          <w:rStyle w:val="Hyperlink"/>
          <w:rFonts w:ascii="Arial" w:hAnsi="Arial" w:cs="Arial"/>
          <w:color w:val="auto"/>
          <w:sz w:val="20"/>
          <w:szCs w:val="20"/>
        </w:rPr>
      </w:pPr>
    </w:p>
    <w:p w14:paraId="6E482C60" w14:textId="3A3DB7BD" w:rsidR="0057448F" w:rsidRDefault="0057448F" w:rsidP="00D64801">
      <w:pPr>
        <w:rPr>
          <w:rStyle w:val="Hyperlink"/>
          <w:rFonts w:ascii="Arial" w:hAnsi="Arial" w:cs="Arial"/>
          <w:color w:val="auto"/>
          <w:sz w:val="20"/>
          <w:szCs w:val="20"/>
        </w:rPr>
      </w:pPr>
    </w:p>
    <w:p w14:paraId="6CBE9092" w14:textId="5BA30D22" w:rsidR="0057448F" w:rsidRDefault="0057448F" w:rsidP="00D64801">
      <w:pPr>
        <w:rPr>
          <w:rStyle w:val="Hyperlink"/>
          <w:rFonts w:ascii="Arial" w:hAnsi="Arial" w:cs="Arial"/>
          <w:color w:val="auto"/>
          <w:sz w:val="20"/>
          <w:szCs w:val="20"/>
        </w:rPr>
      </w:pPr>
    </w:p>
    <w:p w14:paraId="193BB47C" w14:textId="6927D5D7" w:rsidR="0057448F" w:rsidRDefault="0057448F" w:rsidP="00D64801">
      <w:pPr>
        <w:rPr>
          <w:rStyle w:val="Hyperlink"/>
          <w:rFonts w:ascii="Arial" w:hAnsi="Arial" w:cs="Arial"/>
          <w:color w:val="auto"/>
          <w:sz w:val="20"/>
          <w:szCs w:val="20"/>
        </w:rPr>
      </w:pPr>
    </w:p>
    <w:p w14:paraId="3843830E" w14:textId="77777777" w:rsidR="0057448F" w:rsidRPr="00BA1B7B" w:rsidRDefault="0057448F" w:rsidP="00D64801">
      <w:pPr>
        <w:rPr>
          <w:rStyle w:val="Hyperlink"/>
          <w:rFonts w:ascii="Arial" w:hAnsi="Arial" w:cs="Arial"/>
          <w:color w:val="auto"/>
          <w:sz w:val="20"/>
          <w:szCs w:val="20"/>
        </w:rPr>
      </w:pPr>
    </w:p>
    <w:p w14:paraId="52D487EA" w14:textId="77777777" w:rsidR="00D64801" w:rsidRPr="00BA1B7B" w:rsidRDefault="00D64801" w:rsidP="00D64801">
      <w:pPr>
        <w:rPr>
          <w:rFonts w:ascii="Arial" w:hAnsi="Arial" w:cs="Arial"/>
          <w:sz w:val="20"/>
          <w:szCs w:val="20"/>
        </w:rPr>
      </w:pPr>
    </w:p>
    <w:p w14:paraId="3E6EF52C" w14:textId="7B229C86" w:rsidR="00D64801" w:rsidRPr="00BA1B7B" w:rsidRDefault="00074F2F" w:rsidP="00074F2F">
      <w:pPr>
        <w:shd w:val="clear" w:color="auto" w:fill="FFFFFF"/>
        <w:spacing w:before="100" w:beforeAutospacing="1" w:after="100" w:afterAutospacing="1"/>
        <w:outlineLvl w:val="1"/>
        <w:rPr>
          <w:rFonts w:ascii="Arial" w:eastAsia="Times New Roman" w:hAnsi="Arial" w:cs="Arial"/>
          <w:b/>
          <w:bCs/>
          <w:sz w:val="20"/>
          <w:szCs w:val="20"/>
          <w:lang w:eastAsia="en-AU"/>
        </w:rPr>
      </w:pPr>
      <w:bookmarkStart w:id="97" w:name="_Toc120614326"/>
      <w:r w:rsidRPr="00BA1B7B">
        <w:rPr>
          <w:rFonts w:ascii="Arial" w:eastAsia="Times New Roman" w:hAnsi="Arial" w:cs="Arial"/>
          <w:b/>
          <w:bCs/>
          <w:sz w:val="20"/>
          <w:szCs w:val="20"/>
          <w:lang w:eastAsia="en-AU"/>
        </w:rPr>
        <w:t xml:space="preserve">10. </w:t>
      </w:r>
      <w:r w:rsidR="00D64801" w:rsidRPr="00BA1B7B">
        <w:rPr>
          <w:rFonts w:ascii="Arial" w:eastAsia="Times New Roman" w:hAnsi="Arial" w:cs="Arial"/>
          <w:b/>
          <w:bCs/>
          <w:sz w:val="20"/>
          <w:szCs w:val="20"/>
          <w:lang w:eastAsia="en-AU"/>
        </w:rPr>
        <w:t>Family violence</w:t>
      </w:r>
      <w:bookmarkEnd w:id="97"/>
    </w:p>
    <w:bookmarkEnd w:id="96"/>
    <w:p w14:paraId="41C078AB" w14:textId="77777777" w:rsidR="00D64801" w:rsidRPr="00BA1B7B" w:rsidRDefault="00D64801" w:rsidP="00D64801">
      <w:pPr>
        <w:rPr>
          <w:rFonts w:ascii="Arial" w:hAnsi="Arial" w:cs="Arial"/>
          <w:sz w:val="20"/>
          <w:szCs w:val="20"/>
        </w:rPr>
      </w:pPr>
      <w:r w:rsidRPr="00BA1B7B">
        <w:rPr>
          <w:rFonts w:ascii="Arial" w:hAnsi="Arial" w:cs="Arial"/>
          <w:sz w:val="20"/>
          <w:szCs w:val="20"/>
        </w:rPr>
        <w:lastRenderedPageBreak/>
        <w:t>Family violence is described by the Family Court of Australia as: “Violent, threatening or other behaviour by a person that coerces or controls a member of the person’s family or causes the family member to be fearful."  Violence can be physical, sexual, financial, social or emotional.</w:t>
      </w:r>
    </w:p>
    <w:p w14:paraId="0FE2103D" w14:textId="77777777" w:rsidR="00D64801" w:rsidRPr="00BA1B7B" w:rsidRDefault="00D64801" w:rsidP="00D64801">
      <w:pPr>
        <w:rPr>
          <w:rFonts w:ascii="Arial" w:hAnsi="Arial" w:cs="Arial"/>
          <w:sz w:val="20"/>
          <w:szCs w:val="20"/>
        </w:rPr>
      </w:pPr>
    </w:p>
    <w:p w14:paraId="6E95BF03" w14:textId="77777777" w:rsidR="00D64801" w:rsidRPr="00BA1B7B" w:rsidRDefault="00D64801" w:rsidP="00D64801">
      <w:pPr>
        <w:rPr>
          <w:rFonts w:ascii="Arial" w:hAnsi="Arial" w:cs="Arial"/>
          <w:sz w:val="20"/>
          <w:szCs w:val="20"/>
        </w:rPr>
      </w:pPr>
      <w:r w:rsidRPr="00BA1B7B">
        <w:rPr>
          <w:rFonts w:ascii="Arial" w:hAnsi="Arial" w:cs="Arial"/>
          <w:sz w:val="20"/>
          <w:szCs w:val="20"/>
        </w:rPr>
        <w:t>Pregnancy and the immediate post-natal period is a time when family violence can commence or worsen. Younger women and those with an unplanned pregnancy are at a higher risk of domestic violence. It is can be associated with harm to both mother and baby and can led to: lower birth weight, miscarriage, premature labour and mental health disorders including depression and anxiety.</w:t>
      </w:r>
    </w:p>
    <w:p w14:paraId="01CDC18B" w14:textId="77777777" w:rsidR="00D64801" w:rsidRPr="00BA1B7B" w:rsidRDefault="00D64801" w:rsidP="00D64801">
      <w:pPr>
        <w:rPr>
          <w:rFonts w:ascii="Arial" w:hAnsi="Arial" w:cs="Arial"/>
          <w:b/>
          <w:sz w:val="20"/>
          <w:szCs w:val="20"/>
        </w:rPr>
      </w:pPr>
    </w:p>
    <w:p w14:paraId="4D8690E4" w14:textId="77777777" w:rsidR="00D64801" w:rsidRPr="00BA1B7B" w:rsidRDefault="00D64801" w:rsidP="00D64801">
      <w:pPr>
        <w:rPr>
          <w:rFonts w:ascii="Arial" w:hAnsi="Arial" w:cs="Arial"/>
          <w:sz w:val="20"/>
          <w:szCs w:val="20"/>
        </w:rPr>
      </w:pPr>
      <w:r w:rsidRPr="00BA1B7B">
        <w:rPr>
          <w:rFonts w:ascii="Arial" w:hAnsi="Arial" w:cs="Arial"/>
          <w:sz w:val="20"/>
          <w:szCs w:val="20"/>
        </w:rPr>
        <w:t>General Practitioners have an important role in:</w:t>
      </w:r>
    </w:p>
    <w:p w14:paraId="3E7158CA" w14:textId="77777777" w:rsidR="00D64801" w:rsidRPr="00BA1B7B" w:rsidRDefault="00D64801" w:rsidP="004A22FD">
      <w:pPr>
        <w:pStyle w:val="ListParagraph"/>
        <w:numPr>
          <w:ilvl w:val="0"/>
          <w:numId w:val="60"/>
        </w:numPr>
        <w:spacing w:line="256" w:lineRule="auto"/>
        <w:rPr>
          <w:rFonts w:ascii="Arial" w:hAnsi="Arial" w:cs="Arial"/>
          <w:sz w:val="20"/>
          <w:szCs w:val="20"/>
        </w:rPr>
      </w:pPr>
      <w:r w:rsidRPr="00BA1B7B">
        <w:rPr>
          <w:rFonts w:ascii="Arial" w:hAnsi="Arial" w:cs="Arial"/>
          <w:sz w:val="20"/>
          <w:szCs w:val="20"/>
        </w:rPr>
        <w:t>Identifying women at risk</w:t>
      </w:r>
    </w:p>
    <w:p w14:paraId="1D6825AF" w14:textId="77777777" w:rsidR="00D64801" w:rsidRPr="00BA1B7B" w:rsidRDefault="00D64801" w:rsidP="004A22FD">
      <w:pPr>
        <w:pStyle w:val="ListParagraph"/>
        <w:numPr>
          <w:ilvl w:val="0"/>
          <w:numId w:val="60"/>
        </w:numPr>
        <w:spacing w:line="256" w:lineRule="auto"/>
        <w:rPr>
          <w:rFonts w:ascii="Arial" w:hAnsi="Arial" w:cs="Arial"/>
          <w:sz w:val="20"/>
          <w:szCs w:val="20"/>
        </w:rPr>
      </w:pPr>
      <w:r w:rsidRPr="00BA1B7B">
        <w:rPr>
          <w:rFonts w:ascii="Arial" w:hAnsi="Arial" w:cs="Arial"/>
          <w:sz w:val="20"/>
          <w:szCs w:val="20"/>
        </w:rPr>
        <w:t>Identifying early signs and symptoms</w:t>
      </w:r>
    </w:p>
    <w:p w14:paraId="3F7A7E6B" w14:textId="77777777" w:rsidR="00D64801" w:rsidRPr="00BA1B7B" w:rsidRDefault="00D64801" w:rsidP="004A22FD">
      <w:pPr>
        <w:pStyle w:val="ListParagraph"/>
        <w:numPr>
          <w:ilvl w:val="0"/>
          <w:numId w:val="60"/>
        </w:numPr>
        <w:spacing w:line="256" w:lineRule="auto"/>
        <w:rPr>
          <w:rFonts w:ascii="Arial" w:hAnsi="Arial" w:cs="Arial"/>
          <w:sz w:val="20"/>
          <w:szCs w:val="20"/>
        </w:rPr>
      </w:pPr>
      <w:r w:rsidRPr="00BA1B7B">
        <w:rPr>
          <w:rFonts w:ascii="Arial" w:hAnsi="Arial" w:cs="Arial"/>
          <w:sz w:val="20"/>
          <w:szCs w:val="20"/>
        </w:rPr>
        <w:t>Assessing for violence and safety in families</w:t>
      </w:r>
    </w:p>
    <w:p w14:paraId="5950B286" w14:textId="77777777" w:rsidR="00D64801" w:rsidRPr="00BA1B7B" w:rsidRDefault="00D64801" w:rsidP="004A22FD">
      <w:pPr>
        <w:pStyle w:val="ListParagraph"/>
        <w:numPr>
          <w:ilvl w:val="0"/>
          <w:numId w:val="60"/>
        </w:numPr>
        <w:spacing w:line="256" w:lineRule="auto"/>
        <w:rPr>
          <w:rFonts w:ascii="Arial" w:hAnsi="Arial" w:cs="Arial"/>
          <w:sz w:val="20"/>
          <w:szCs w:val="20"/>
        </w:rPr>
      </w:pPr>
      <w:r w:rsidRPr="00BA1B7B">
        <w:rPr>
          <w:rFonts w:ascii="Arial" w:hAnsi="Arial" w:cs="Arial"/>
          <w:sz w:val="20"/>
          <w:szCs w:val="20"/>
        </w:rPr>
        <w:t>Referring to appropriate local resources</w:t>
      </w:r>
    </w:p>
    <w:p w14:paraId="07DDAEDA" w14:textId="77777777" w:rsidR="00D64801" w:rsidRPr="00BA1B7B" w:rsidRDefault="00D64801" w:rsidP="004A22FD">
      <w:pPr>
        <w:pStyle w:val="ListParagraph"/>
        <w:numPr>
          <w:ilvl w:val="0"/>
          <w:numId w:val="60"/>
        </w:numPr>
        <w:spacing w:line="256" w:lineRule="auto"/>
        <w:rPr>
          <w:rFonts w:ascii="Arial" w:hAnsi="Arial" w:cs="Arial"/>
          <w:sz w:val="20"/>
          <w:szCs w:val="20"/>
        </w:rPr>
      </w:pPr>
      <w:r w:rsidRPr="00BA1B7B">
        <w:rPr>
          <w:rFonts w:ascii="Arial" w:hAnsi="Arial" w:cs="Arial"/>
          <w:sz w:val="20"/>
          <w:szCs w:val="20"/>
        </w:rPr>
        <w:t xml:space="preserve"> Managing short and longer terms consequences of any violence</w:t>
      </w:r>
    </w:p>
    <w:p w14:paraId="5E899173" w14:textId="77777777" w:rsidR="00D64801" w:rsidRPr="00BA1B7B" w:rsidRDefault="00D64801" w:rsidP="00D64801">
      <w:pPr>
        <w:rPr>
          <w:rFonts w:ascii="Arial" w:hAnsi="Arial" w:cs="Arial"/>
          <w:sz w:val="20"/>
          <w:szCs w:val="20"/>
        </w:rPr>
      </w:pPr>
      <w:r w:rsidRPr="00BA1B7B">
        <w:rPr>
          <w:rFonts w:ascii="Arial" w:hAnsi="Arial" w:cs="Arial"/>
          <w:sz w:val="20"/>
          <w:szCs w:val="20"/>
        </w:rPr>
        <w:t xml:space="preserve">Additional information is available from: </w:t>
      </w:r>
    </w:p>
    <w:p w14:paraId="5E9DC1B7" w14:textId="77777777" w:rsidR="00D64801" w:rsidRPr="00BA1B7B" w:rsidRDefault="00D64801" w:rsidP="00D64801">
      <w:pPr>
        <w:rPr>
          <w:rFonts w:ascii="Arial" w:hAnsi="Arial" w:cs="Arial"/>
          <w:sz w:val="20"/>
          <w:szCs w:val="20"/>
        </w:rPr>
      </w:pPr>
    </w:p>
    <w:p w14:paraId="651D7A9F" w14:textId="77777777" w:rsidR="00D64801" w:rsidRPr="00BA1B7B" w:rsidRDefault="00A97F97" w:rsidP="004A22FD">
      <w:pPr>
        <w:pStyle w:val="ListParagraph"/>
        <w:numPr>
          <w:ilvl w:val="0"/>
          <w:numId w:val="61"/>
        </w:numPr>
        <w:spacing w:line="256" w:lineRule="auto"/>
        <w:rPr>
          <w:rFonts w:ascii="Arial" w:hAnsi="Arial" w:cs="Arial"/>
          <w:sz w:val="20"/>
          <w:szCs w:val="20"/>
        </w:rPr>
      </w:pPr>
      <w:hyperlink r:id="rId179" w:history="1">
        <w:r w:rsidR="00D64801" w:rsidRPr="00BA1B7B">
          <w:rPr>
            <w:rStyle w:val="Hyperlink"/>
            <w:rFonts w:ascii="Arial" w:hAnsi="Arial" w:cs="Arial"/>
            <w:color w:val="auto"/>
            <w:sz w:val="20"/>
            <w:szCs w:val="20"/>
          </w:rPr>
          <w:t>Abuse and Violence – Working with our patients in General Practice - RACGP</w:t>
        </w:r>
      </w:hyperlink>
    </w:p>
    <w:p w14:paraId="36F60A3E" w14:textId="77777777" w:rsidR="00D64801" w:rsidRPr="00BA1B7B" w:rsidRDefault="00A97F97" w:rsidP="004A22FD">
      <w:pPr>
        <w:pStyle w:val="ListParagraph"/>
        <w:numPr>
          <w:ilvl w:val="0"/>
          <w:numId w:val="61"/>
        </w:numPr>
        <w:spacing w:line="256" w:lineRule="auto"/>
        <w:rPr>
          <w:rFonts w:ascii="Arial" w:hAnsi="Arial" w:cs="Arial"/>
          <w:b/>
          <w:sz w:val="20"/>
          <w:szCs w:val="20"/>
        </w:rPr>
      </w:pPr>
      <w:hyperlink r:id="rId180" w:history="1">
        <w:r w:rsidR="00D64801" w:rsidRPr="00BA1B7B">
          <w:rPr>
            <w:rStyle w:val="Hyperlink"/>
            <w:rFonts w:ascii="Arial" w:hAnsi="Arial" w:cs="Arial"/>
            <w:b/>
            <w:color w:val="auto"/>
            <w:sz w:val="20"/>
            <w:szCs w:val="20"/>
          </w:rPr>
          <w:t>National Sexual Assault, Domestic Family Violence Counselling Service on 1800 RESPECT or 1800 737 732</w:t>
        </w:r>
      </w:hyperlink>
    </w:p>
    <w:p w14:paraId="17F3B641" w14:textId="77777777" w:rsidR="00D64801" w:rsidRPr="00BA1B7B" w:rsidRDefault="00D64801" w:rsidP="004A22FD">
      <w:pPr>
        <w:pStyle w:val="ListParagraph"/>
        <w:numPr>
          <w:ilvl w:val="0"/>
          <w:numId w:val="61"/>
        </w:numPr>
        <w:spacing w:line="256" w:lineRule="auto"/>
        <w:rPr>
          <w:rFonts w:ascii="Arial" w:hAnsi="Arial" w:cs="Arial"/>
          <w:sz w:val="20"/>
          <w:szCs w:val="20"/>
        </w:rPr>
      </w:pPr>
      <w:r w:rsidRPr="00BA1B7B">
        <w:rPr>
          <w:rFonts w:ascii="Arial" w:hAnsi="Arial" w:cs="Arial"/>
          <w:sz w:val="20"/>
          <w:szCs w:val="20"/>
        </w:rPr>
        <w:t>Pregnancy, Birth and Baby on 1800 882 436</w:t>
      </w:r>
    </w:p>
    <w:p w14:paraId="7BA3AB42" w14:textId="77777777" w:rsidR="00D64801" w:rsidRPr="00BA1B7B" w:rsidRDefault="00A97F97" w:rsidP="004A22FD">
      <w:pPr>
        <w:pStyle w:val="ListParagraph"/>
        <w:numPr>
          <w:ilvl w:val="0"/>
          <w:numId w:val="61"/>
        </w:numPr>
        <w:spacing w:line="256" w:lineRule="auto"/>
        <w:rPr>
          <w:rFonts w:ascii="Arial" w:hAnsi="Arial" w:cs="Arial"/>
          <w:sz w:val="20"/>
          <w:szCs w:val="20"/>
        </w:rPr>
      </w:pPr>
      <w:hyperlink r:id="rId181" w:history="1">
        <w:r w:rsidR="00D64801" w:rsidRPr="00BA1B7B">
          <w:rPr>
            <w:rStyle w:val="Hyperlink"/>
            <w:rFonts w:ascii="Arial" w:hAnsi="Arial" w:cs="Arial"/>
            <w:color w:val="auto"/>
            <w:sz w:val="20"/>
            <w:szCs w:val="20"/>
          </w:rPr>
          <w:t>Safe Steps Family Violence Response Centre on 1800 015 188 (24 hours a day, 7 days a week)</w:t>
        </w:r>
      </w:hyperlink>
    </w:p>
    <w:sectPr w:rsidR="00D64801" w:rsidRPr="00BA1B7B" w:rsidSect="004C5F04">
      <w:headerReference w:type="even" r:id="rId182"/>
      <w:headerReference w:type="default" r:id="rId183"/>
      <w:footerReference w:type="even" r:id="rId184"/>
      <w:footerReference w:type="default" r:id="rId185"/>
      <w:headerReference w:type="first" r:id="rId186"/>
      <w:footerReference w:type="first" r:id="rId187"/>
      <w:pgSz w:w="11906" w:h="16838"/>
      <w:pgMar w:top="1440" w:right="1440" w:bottom="1440" w:left="1440" w:header="11"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4A5CF1" w16cid:durableId="26DD6E12"/>
  <w16cid:commentId w16cid:paraId="3513E011" w16cid:durableId="26DD6E13"/>
  <w16cid:commentId w16cid:paraId="2D9FA8D9" w16cid:durableId="26DD6E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7608B" w14:textId="77777777" w:rsidR="00A97F97" w:rsidRDefault="00A97F97" w:rsidP="006116BF">
      <w:r>
        <w:separator/>
      </w:r>
    </w:p>
  </w:endnote>
  <w:endnote w:type="continuationSeparator" w:id="0">
    <w:p w14:paraId="010F98BD" w14:textId="77777777" w:rsidR="00A97F97" w:rsidRDefault="00A97F97" w:rsidP="00611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Bold">
    <w:altName w:val="Times New Roman"/>
    <w:panose1 w:val="00000000000000000000"/>
    <w:charset w:val="00"/>
    <w:family w:val="auto"/>
    <w:notTrueType/>
    <w:pitch w:val="variable"/>
    <w:sig w:usb0="00000001" w:usb1="4000005B"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leil">
    <w:charset w:val="4D"/>
    <w:family w:val="auto"/>
    <w:pitch w:val="variable"/>
    <w:sig w:usb0="A00000AF" w:usb1="5000207B" w:usb2="00000000" w:usb3="00000000" w:csb0="00000093"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3A3F9" w14:textId="77777777" w:rsidR="00A97F97" w:rsidRDefault="00A97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0D227" w14:textId="77777777" w:rsidR="00A97F97" w:rsidRDefault="00A97F97" w:rsidP="002B2388">
    <w:pPr>
      <w:pStyle w:val="DocMainHeadingLevel2EASH"/>
      <w:spacing w:line="276" w:lineRule="auto"/>
      <w:ind w:left="0" w:right="95"/>
      <w:jc w:val="center"/>
      <w:rPr>
        <w:color w:val="auto"/>
        <w:sz w:val="16"/>
        <w:szCs w:val="16"/>
      </w:rPr>
    </w:pPr>
  </w:p>
  <w:p w14:paraId="740714A8" w14:textId="6E22A495" w:rsidR="00A97F97" w:rsidRPr="002B2388" w:rsidRDefault="00A97F97" w:rsidP="002B2388">
    <w:pPr>
      <w:pStyle w:val="DocMainHeadingLevel2EASH"/>
      <w:spacing w:line="276" w:lineRule="auto"/>
      <w:ind w:left="0" w:right="95"/>
      <w:jc w:val="center"/>
      <w:rPr>
        <w:color w:val="auto"/>
        <w:sz w:val="16"/>
        <w:szCs w:val="16"/>
      </w:rPr>
    </w:pPr>
    <w:r>
      <w:rPr>
        <w:color w:val="auto"/>
        <w:sz w:val="16"/>
        <w:szCs w:val="16"/>
      </w:rPr>
      <w:t xml:space="preserve">Eastern Health </w:t>
    </w:r>
    <w:r w:rsidRPr="002B2388">
      <w:rPr>
        <w:color w:val="auto"/>
        <w:sz w:val="16"/>
        <w:szCs w:val="16"/>
      </w:rPr>
      <w:t>GP Guidelines for Maternity &amp; GP Shared Care Program</w:t>
    </w:r>
    <w:r>
      <w:rPr>
        <w:color w:val="auto"/>
        <w:sz w:val="16"/>
        <w:szCs w:val="16"/>
      </w:rPr>
      <w:t xml:space="preserve"> 29</w:t>
    </w:r>
    <w:r w:rsidRPr="002B2388">
      <w:rPr>
        <w:color w:val="auto"/>
        <w:sz w:val="16"/>
        <w:szCs w:val="16"/>
        <w:vertAlign w:val="superscript"/>
      </w:rPr>
      <w:t>th</w:t>
    </w:r>
    <w:r>
      <w:rPr>
        <w:color w:val="auto"/>
        <w:sz w:val="16"/>
        <w:szCs w:val="16"/>
      </w:rPr>
      <w:t xml:space="preserve"> November 2022</w:t>
    </w:r>
  </w:p>
  <w:p w14:paraId="298430F3" w14:textId="54EE35D8" w:rsidR="00A97F97" w:rsidRDefault="00A97F97">
    <w:pPr>
      <w:pStyle w:val="Footer"/>
    </w:pPr>
  </w:p>
  <w:p w14:paraId="3DA95585" w14:textId="77777777" w:rsidR="00A97F97" w:rsidRDefault="00A97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8E55F" w14:textId="77777777" w:rsidR="00A97F97" w:rsidRDefault="00A97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D860F" w14:textId="77777777" w:rsidR="00A97F97" w:rsidRDefault="00A97F97" w:rsidP="006116BF">
      <w:r>
        <w:separator/>
      </w:r>
    </w:p>
  </w:footnote>
  <w:footnote w:type="continuationSeparator" w:id="0">
    <w:p w14:paraId="5CC7A2B0" w14:textId="77777777" w:rsidR="00A97F97" w:rsidRDefault="00A97F97" w:rsidP="00611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6E1F0" w14:textId="77777777" w:rsidR="00A97F97" w:rsidRDefault="00A97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AC38E" w14:textId="77777777" w:rsidR="00A97F97" w:rsidRDefault="00A97F97" w:rsidP="006116BF">
    <w:pPr>
      <w:pStyle w:val="Header"/>
    </w:pPr>
    <w:r>
      <w:rPr>
        <w:noProof/>
        <w:lang w:eastAsia="en-AU"/>
      </w:rPr>
      <w:drawing>
        <wp:anchor distT="0" distB="0" distL="114300" distR="114300" simplePos="0" relativeHeight="251657216" behindDoc="0" locked="0" layoutInCell="1" allowOverlap="1" wp14:anchorId="1B35FDB6" wp14:editId="0152E6A5">
          <wp:simplePos x="0" y="0"/>
          <wp:positionH relativeFrom="column">
            <wp:posOffset>-914400</wp:posOffset>
          </wp:positionH>
          <wp:positionV relativeFrom="paragraph">
            <wp:posOffset>-6985</wp:posOffset>
          </wp:positionV>
          <wp:extent cx="7591425" cy="1552575"/>
          <wp:effectExtent l="0" t="0" r="9525" b="9525"/>
          <wp:wrapSquare wrapText="bothSides"/>
          <wp:docPr id="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591425" cy="1552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3938F" w14:textId="0C1621BC" w:rsidR="00A97F97" w:rsidRDefault="00A97F97">
    <w:pPr>
      <w:pStyle w:val="Header"/>
    </w:pPr>
    <w:r>
      <w:rPr>
        <w:noProof/>
        <w:lang w:eastAsia="en-AU"/>
      </w:rPr>
      <w:drawing>
        <wp:anchor distT="0" distB="0" distL="114300" distR="114300" simplePos="0" relativeHeight="251658240" behindDoc="1" locked="0" layoutInCell="1" allowOverlap="1" wp14:anchorId="31FAF84A" wp14:editId="47E62B48">
          <wp:simplePos x="0" y="0"/>
          <wp:positionH relativeFrom="column">
            <wp:posOffset>-888002</wp:posOffset>
          </wp:positionH>
          <wp:positionV relativeFrom="paragraph">
            <wp:posOffset>3810</wp:posOffset>
          </wp:positionV>
          <wp:extent cx="7542000" cy="10659600"/>
          <wp:effectExtent l="0" t="0" r="1905"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D3C"/>
    <w:multiLevelType w:val="hybridMultilevel"/>
    <w:tmpl w:val="CE3C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1194E"/>
    <w:multiLevelType w:val="hybridMultilevel"/>
    <w:tmpl w:val="0A6C15F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003684"/>
    <w:multiLevelType w:val="hybridMultilevel"/>
    <w:tmpl w:val="9C528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56694"/>
    <w:multiLevelType w:val="hybridMultilevel"/>
    <w:tmpl w:val="FB4C48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C006B4"/>
    <w:multiLevelType w:val="hybridMultilevel"/>
    <w:tmpl w:val="9854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C71D9C"/>
    <w:multiLevelType w:val="hybridMultilevel"/>
    <w:tmpl w:val="28548B86"/>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15:restartNumberingAfterBreak="0">
    <w:nsid w:val="074F0F4F"/>
    <w:multiLevelType w:val="hybridMultilevel"/>
    <w:tmpl w:val="E47E4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8E6163"/>
    <w:multiLevelType w:val="hybridMultilevel"/>
    <w:tmpl w:val="CF2A1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F26B0D"/>
    <w:multiLevelType w:val="hybridMultilevel"/>
    <w:tmpl w:val="3C80750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9" w15:restartNumberingAfterBreak="0">
    <w:nsid w:val="0A92224D"/>
    <w:multiLevelType w:val="hybridMultilevel"/>
    <w:tmpl w:val="47C4B1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ADF2E27"/>
    <w:multiLevelType w:val="hybridMultilevel"/>
    <w:tmpl w:val="5FB410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4F1DBE"/>
    <w:multiLevelType w:val="hybridMultilevel"/>
    <w:tmpl w:val="5C0C9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401CF9"/>
    <w:multiLevelType w:val="hybridMultilevel"/>
    <w:tmpl w:val="7E728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263A97"/>
    <w:multiLevelType w:val="hybridMultilevel"/>
    <w:tmpl w:val="00CAA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E31673"/>
    <w:multiLevelType w:val="hybridMultilevel"/>
    <w:tmpl w:val="FE547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E859BD"/>
    <w:multiLevelType w:val="hybridMultilevel"/>
    <w:tmpl w:val="E1447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5C2299"/>
    <w:multiLevelType w:val="hybridMultilevel"/>
    <w:tmpl w:val="6920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BE3D6E"/>
    <w:multiLevelType w:val="hybridMultilevel"/>
    <w:tmpl w:val="CA3E6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5841DD"/>
    <w:multiLevelType w:val="hybridMultilevel"/>
    <w:tmpl w:val="01E6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8E4E62"/>
    <w:multiLevelType w:val="hybridMultilevel"/>
    <w:tmpl w:val="9E4C5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925DAB"/>
    <w:multiLevelType w:val="hybridMultilevel"/>
    <w:tmpl w:val="7F5A4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7D4DFC"/>
    <w:multiLevelType w:val="hybridMultilevel"/>
    <w:tmpl w:val="F64E8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D8792C"/>
    <w:multiLevelType w:val="multilevel"/>
    <w:tmpl w:val="AB84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803226"/>
    <w:multiLevelType w:val="hybridMultilevel"/>
    <w:tmpl w:val="DDEC481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2EF81882"/>
    <w:multiLevelType w:val="hybridMultilevel"/>
    <w:tmpl w:val="B66A81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D667FC"/>
    <w:multiLevelType w:val="hybridMultilevel"/>
    <w:tmpl w:val="002CCFA8"/>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425A57"/>
    <w:multiLevelType w:val="hybridMultilevel"/>
    <w:tmpl w:val="142A0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5CF091F"/>
    <w:multiLevelType w:val="hybridMultilevel"/>
    <w:tmpl w:val="10AE5BDA"/>
    <w:lvl w:ilvl="0" w:tplc="4DDC5398">
      <w:numFmt w:val="bullet"/>
      <w:lvlText w:val="•"/>
      <w:lvlJc w:val="left"/>
      <w:pPr>
        <w:ind w:left="1323" w:hanging="360"/>
      </w:pPr>
      <w:rPr>
        <w:spacing w:val="-6"/>
        <w:w w:val="99"/>
        <w:lang w:val="en-US" w:eastAsia="en-US" w:bidi="ar-SA"/>
      </w:rPr>
    </w:lvl>
    <w:lvl w:ilvl="1" w:tplc="519AFD4E">
      <w:numFmt w:val="bullet"/>
      <w:lvlText w:val="•"/>
      <w:lvlJc w:val="left"/>
      <w:pPr>
        <w:ind w:left="2223" w:hanging="360"/>
      </w:pPr>
      <w:rPr>
        <w:rFonts w:ascii="Calibri" w:eastAsia="Calibri" w:hAnsi="Calibri" w:cs="Calibri" w:hint="default"/>
        <w:color w:val="414042"/>
        <w:spacing w:val="-10"/>
        <w:w w:val="98"/>
        <w:sz w:val="22"/>
        <w:szCs w:val="22"/>
        <w:lang w:val="en-US" w:eastAsia="en-US" w:bidi="ar-SA"/>
      </w:rPr>
    </w:lvl>
    <w:lvl w:ilvl="2" w:tplc="3BDE43B8">
      <w:numFmt w:val="bullet"/>
      <w:lvlText w:val="•"/>
      <w:lvlJc w:val="left"/>
      <w:pPr>
        <w:ind w:left="3296" w:hanging="360"/>
      </w:pPr>
      <w:rPr>
        <w:lang w:val="en-US" w:eastAsia="en-US" w:bidi="ar-SA"/>
      </w:rPr>
    </w:lvl>
    <w:lvl w:ilvl="3" w:tplc="465222A2">
      <w:numFmt w:val="bullet"/>
      <w:lvlText w:val="•"/>
      <w:lvlJc w:val="left"/>
      <w:pPr>
        <w:ind w:left="4372" w:hanging="360"/>
      </w:pPr>
      <w:rPr>
        <w:lang w:val="en-US" w:eastAsia="en-US" w:bidi="ar-SA"/>
      </w:rPr>
    </w:lvl>
    <w:lvl w:ilvl="4" w:tplc="FA6A7A1E">
      <w:numFmt w:val="bullet"/>
      <w:lvlText w:val="•"/>
      <w:lvlJc w:val="left"/>
      <w:pPr>
        <w:ind w:left="5448" w:hanging="360"/>
      </w:pPr>
      <w:rPr>
        <w:lang w:val="en-US" w:eastAsia="en-US" w:bidi="ar-SA"/>
      </w:rPr>
    </w:lvl>
    <w:lvl w:ilvl="5" w:tplc="512A4592">
      <w:numFmt w:val="bullet"/>
      <w:lvlText w:val="•"/>
      <w:lvlJc w:val="left"/>
      <w:pPr>
        <w:ind w:left="6524" w:hanging="360"/>
      </w:pPr>
      <w:rPr>
        <w:lang w:val="en-US" w:eastAsia="en-US" w:bidi="ar-SA"/>
      </w:rPr>
    </w:lvl>
    <w:lvl w:ilvl="6" w:tplc="3D6CD900">
      <w:numFmt w:val="bullet"/>
      <w:lvlText w:val="•"/>
      <w:lvlJc w:val="left"/>
      <w:pPr>
        <w:ind w:left="7600" w:hanging="360"/>
      </w:pPr>
      <w:rPr>
        <w:lang w:val="en-US" w:eastAsia="en-US" w:bidi="ar-SA"/>
      </w:rPr>
    </w:lvl>
    <w:lvl w:ilvl="7" w:tplc="83B09B58">
      <w:numFmt w:val="bullet"/>
      <w:lvlText w:val="•"/>
      <w:lvlJc w:val="left"/>
      <w:pPr>
        <w:ind w:left="8677" w:hanging="360"/>
      </w:pPr>
      <w:rPr>
        <w:lang w:val="en-US" w:eastAsia="en-US" w:bidi="ar-SA"/>
      </w:rPr>
    </w:lvl>
    <w:lvl w:ilvl="8" w:tplc="20048CA4">
      <w:numFmt w:val="bullet"/>
      <w:lvlText w:val="•"/>
      <w:lvlJc w:val="left"/>
      <w:pPr>
        <w:ind w:left="9753" w:hanging="360"/>
      </w:pPr>
      <w:rPr>
        <w:lang w:val="en-US" w:eastAsia="en-US" w:bidi="ar-SA"/>
      </w:rPr>
    </w:lvl>
  </w:abstractNum>
  <w:abstractNum w:abstractNumId="28" w15:restartNumberingAfterBreak="0">
    <w:nsid w:val="35F530EF"/>
    <w:multiLevelType w:val="hybridMultilevel"/>
    <w:tmpl w:val="D9483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3258C5"/>
    <w:multiLevelType w:val="hybridMultilevel"/>
    <w:tmpl w:val="AE92B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7FE5433"/>
    <w:multiLevelType w:val="hybridMultilevel"/>
    <w:tmpl w:val="C6E84592"/>
    <w:lvl w:ilvl="0" w:tplc="392A4EB0">
      <w:start w:val="3"/>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004467"/>
    <w:multiLevelType w:val="hybridMultilevel"/>
    <w:tmpl w:val="6214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964DAD"/>
    <w:multiLevelType w:val="hybridMultilevel"/>
    <w:tmpl w:val="1D2C8F6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22F5551"/>
    <w:multiLevelType w:val="hybridMultilevel"/>
    <w:tmpl w:val="B30A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112ADA"/>
    <w:multiLevelType w:val="hybridMultilevel"/>
    <w:tmpl w:val="6E5C3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2565E6"/>
    <w:multiLevelType w:val="hybridMultilevel"/>
    <w:tmpl w:val="0FF47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1A3AE0"/>
    <w:multiLevelType w:val="hybridMultilevel"/>
    <w:tmpl w:val="A1CEEC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416BC1"/>
    <w:multiLevelType w:val="hybridMultilevel"/>
    <w:tmpl w:val="36361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DF7472B"/>
    <w:multiLevelType w:val="hybridMultilevel"/>
    <w:tmpl w:val="F53CC4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F734448"/>
    <w:multiLevelType w:val="hybridMultilevel"/>
    <w:tmpl w:val="84CE3F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0051F6B"/>
    <w:multiLevelType w:val="hybridMultilevel"/>
    <w:tmpl w:val="0AA83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1D5694"/>
    <w:multiLevelType w:val="hybridMultilevel"/>
    <w:tmpl w:val="5FF23D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205DD7"/>
    <w:multiLevelType w:val="hybridMultilevel"/>
    <w:tmpl w:val="7D3CF1A0"/>
    <w:lvl w:ilvl="0" w:tplc="392A4EB0">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2930E2E"/>
    <w:multiLevelType w:val="hybridMultilevel"/>
    <w:tmpl w:val="321E2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9E48A4"/>
    <w:multiLevelType w:val="hybridMultilevel"/>
    <w:tmpl w:val="F904C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2C91F0E"/>
    <w:multiLevelType w:val="hybridMultilevel"/>
    <w:tmpl w:val="CC626F98"/>
    <w:lvl w:ilvl="0" w:tplc="392A4EB0">
      <w:start w:val="3"/>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C84D75"/>
    <w:multiLevelType w:val="hybridMultilevel"/>
    <w:tmpl w:val="722A2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54EC1BAB"/>
    <w:multiLevelType w:val="multilevel"/>
    <w:tmpl w:val="36E8D140"/>
    <w:lvl w:ilvl="0">
      <w:start w:val="1"/>
      <w:numFmt w:val="bullet"/>
      <w:lvlText w:val=""/>
      <w:lvlJc w:val="left"/>
      <w:pPr>
        <w:tabs>
          <w:tab w:val="num" w:pos="405"/>
        </w:tabs>
        <w:ind w:left="405" w:hanging="360"/>
      </w:pPr>
      <w:rPr>
        <w:rFonts w:ascii="Symbol" w:hAnsi="Symbol" w:hint="default"/>
        <w:sz w:val="20"/>
      </w:rPr>
    </w:lvl>
    <w:lvl w:ilvl="1" w:tentative="1">
      <w:start w:val="1"/>
      <w:numFmt w:val="bullet"/>
      <w:lvlText w:val="o"/>
      <w:lvlJc w:val="left"/>
      <w:pPr>
        <w:tabs>
          <w:tab w:val="num" w:pos="1125"/>
        </w:tabs>
        <w:ind w:left="1125" w:hanging="360"/>
      </w:pPr>
      <w:rPr>
        <w:rFonts w:ascii="Courier New" w:hAnsi="Courier New" w:hint="default"/>
        <w:sz w:val="20"/>
      </w:rPr>
    </w:lvl>
    <w:lvl w:ilvl="2" w:tentative="1">
      <w:start w:val="1"/>
      <w:numFmt w:val="bullet"/>
      <w:lvlText w:val=""/>
      <w:lvlJc w:val="left"/>
      <w:pPr>
        <w:tabs>
          <w:tab w:val="num" w:pos="1845"/>
        </w:tabs>
        <w:ind w:left="1845" w:hanging="360"/>
      </w:pPr>
      <w:rPr>
        <w:rFonts w:ascii="Wingdings" w:hAnsi="Wingdings" w:hint="default"/>
        <w:sz w:val="20"/>
      </w:rPr>
    </w:lvl>
    <w:lvl w:ilvl="3" w:tentative="1">
      <w:start w:val="1"/>
      <w:numFmt w:val="bullet"/>
      <w:lvlText w:val=""/>
      <w:lvlJc w:val="left"/>
      <w:pPr>
        <w:tabs>
          <w:tab w:val="num" w:pos="2565"/>
        </w:tabs>
        <w:ind w:left="2565" w:hanging="360"/>
      </w:pPr>
      <w:rPr>
        <w:rFonts w:ascii="Wingdings" w:hAnsi="Wingdings" w:hint="default"/>
        <w:sz w:val="20"/>
      </w:rPr>
    </w:lvl>
    <w:lvl w:ilvl="4" w:tentative="1">
      <w:start w:val="1"/>
      <w:numFmt w:val="bullet"/>
      <w:lvlText w:val=""/>
      <w:lvlJc w:val="left"/>
      <w:pPr>
        <w:tabs>
          <w:tab w:val="num" w:pos="3285"/>
        </w:tabs>
        <w:ind w:left="3285" w:hanging="360"/>
      </w:pPr>
      <w:rPr>
        <w:rFonts w:ascii="Wingdings" w:hAnsi="Wingdings" w:hint="default"/>
        <w:sz w:val="20"/>
      </w:rPr>
    </w:lvl>
    <w:lvl w:ilvl="5" w:tentative="1">
      <w:start w:val="1"/>
      <w:numFmt w:val="bullet"/>
      <w:lvlText w:val=""/>
      <w:lvlJc w:val="left"/>
      <w:pPr>
        <w:tabs>
          <w:tab w:val="num" w:pos="4005"/>
        </w:tabs>
        <w:ind w:left="4005" w:hanging="360"/>
      </w:pPr>
      <w:rPr>
        <w:rFonts w:ascii="Wingdings" w:hAnsi="Wingdings" w:hint="default"/>
        <w:sz w:val="20"/>
      </w:rPr>
    </w:lvl>
    <w:lvl w:ilvl="6" w:tentative="1">
      <w:start w:val="1"/>
      <w:numFmt w:val="bullet"/>
      <w:lvlText w:val=""/>
      <w:lvlJc w:val="left"/>
      <w:pPr>
        <w:tabs>
          <w:tab w:val="num" w:pos="4725"/>
        </w:tabs>
        <w:ind w:left="4725" w:hanging="360"/>
      </w:pPr>
      <w:rPr>
        <w:rFonts w:ascii="Wingdings" w:hAnsi="Wingdings" w:hint="default"/>
        <w:sz w:val="20"/>
      </w:rPr>
    </w:lvl>
    <w:lvl w:ilvl="7" w:tentative="1">
      <w:start w:val="1"/>
      <w:numFmt w:val="bullet"/>
      <w:lvlText w:val=""/>
      <w:lvlJc w:val="left"/>
      <w:pPr>
        <w:tabs>
          <w:tab w:val="num" w:pos="5445"/>
        </w:tabs>
        <w:ind w:left="5445" w:hanging="360"/>
      </w:pPr>
      <w:rPr>
        <w:rFonts w:ascii="Wingdings" w:hAnsi="Wingdings" w:hint="default"/>
        <w:sz w:val="20"/>
      </w:rPr>
    </w:lvl>
    <w:lvl w:ilvl="8" w:tentative="1">
      <w:start w:val="1"/>
      <w:numFmt w:val="bullet"/>
      <w:lvlText w:val=""/>
      <w:lvlJc w:val="left"/>
      <w:pPr>
        <w:tabs>
          <w:tab w:val="num" w:pos="6165"/>
        </w:tabs>
        <w:ind w:left="6165" w:hanging="360"/>
      </w:pPr>
      <w:rPr>
        <w:rFonts w:ascii="Wingdings" w:hAnsi="Wingdings" w:hint="default"/>
        <w:sz w:val="20"/>
      </w:rPr>
    </w:lvl>
  </w:abstractNum>
  <w:abstractNum w:abstractNumId="48" w15:restartNumberingAfterBreak="0">
    <w:nsid w:val="56AB2DDF"/>
    <w:multiLevelType w:val="hybridMultilevel"/>
    <w:tmpl w:val="FAD8EA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82D747E"/>
    <w:multiLevelType w:val="hybridMultilevel"/>
    <w:tmpl w:val="BEFAFB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8435759"/>
    <w:multiLevelType w:val="hybridMultilevel"/>
    <w:tmpl w:val="6D0CDE88"/>
    <w:lvl w:ilvl="0" w:tplc="392A4EB0">
      <w:start w:val="3"/>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A605D00"/>
    <w:multiLevelType w:val="hybridMultilevel"/>
    <w:tmpl w:val="184C7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DAE2AE6"/>
    <w:multiLevelType w:val="hybridMultilevel"/>
    <w:tmpl w:val="E6F49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F296B79"/>
    <w:multiLevelType w:val="hybridMultilevel"/>
    <w:tmpl w:val="C2A26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134544B"/>
    <w:multiLevelType w:val="hybridMultilevel"/>
    <w:tmpl w:val="357E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21B63CF"/>
    <w:multiLevelType w:val="hybridMultilevel"/>
    <w:tmpl w:val="C200F6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64D6C320">
      <w:numFmt w:val="bullet"/>
      <w:lvlText w:val="•"/>
      <w:lvlJc w:val="left"/>
      <w:pPr>
        <w:ind w:left="2160" w:hanging="360"/>
      </w:pPr>
      <w:rPr>
        <w:rFonts w:ascii="Calibri" w:eastAsiaTheme="minorHAnsi"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3772410"/>
    <w:multiLevelType w:val="hybridMultilevel"/>
    <w:tmpl w:val="408A832A"/>
    <w:lvl w:ilvl="0" w:tplc="0C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7BB3304"/>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9B05262"/>
    <w:multiLevelType w:val="hybridMultilevel"/>
    <w:tmpl w:val="7FA8E1C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9" w15:restartNumberingAfterBreak="0">
    <w:nsid w:val="6AAE66D2"/>
    <w:multiLevelType w:val="hybridMultilevel"/>
    <w:tmpl w:val="A5E60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E004111"/>
    <w:multiLevelType w:val="hybridMultilevel"/>
    <w:tmpl w:val="C8D04B5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6E340BDC"/>
    <w:multiLevelType w:val="hybridMultilevel"/>
    <w:tmpl w:val="732CD22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2" w15:restartNumberingAfterBreak="0">
    <w:nsid w:val="6EDB2140"/>
    <w:multiLevelType w:val="hybridMultilevel"/>
    <w:tmpl w:val="F806C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17B56E2"/>
    <w:multiLevelType w:val="hybridMultilevel"/>
    <w:tmpl w:val="D23E4C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3FE32E5"/>
    <w:multiLevelType w:val="hybridMultilevel"/>
    <w:tmpl w:val="82C6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50725D"/>
    <w:multiLevelType w:val="hybridMultilevel"/>
    <w:tmpl w:val="58285C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9C24CE6"/>
    <w:multiLevelType w:val="hybridMultilevel"/>
    <w:tmpl w:val="97E6D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A625797"/>
    <w:multiLevelType w:val="hybridMultilevel"/>
    <w:tmpl w:val="6A720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D54425D"/>
    <w:multiLevelType w:val="multilevel"/>
    <w:tmpl w:val="49A8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44"/>
  </w:num>
  <w:num w:numId="3">
    <w:abstractNumId w:val="45"/>
  </w:num>
  <w:num w:numId="4">
    <w:abstractNumId w:val="61"/>
  </w:num>
  <w:num w:numId="5">
    <w:abstractNumId w:val="42"/>
  </w:num>
  <w:num w:numId="6">
    <w:abstractNumId w:val="30"/>
  </w:num>
  <w:num w:numId="7">
    <w:abstractNumId w:val="50"/>
  </w:num>
  <w:num w:numId="8">
    <w:abstractNumId w:val="9"/>
  </w:num>
  <w:num w:numId="9">
    <w:abstractNumId w:val="64"/>
  </w:num>
  <w:num w:numId="10">
    <w:abstractNumId w:val="52"/>
  </w:num>
  <w:num w:numId="11">
    <w:abstractNumId w:val="35"/>
  </w:num>
  <w:num w:numId="12">
    <w:abstractNumId w:val="23"/>
  </w:num>
  <w:num w:numId="13">
    <w:abstractNumId w:val="0"/>
  </w:num>
  <w:num w:numId="14">
    <w:abstractNumId w:val="55"/>
  </w:num>
  <w:num w:numId="15">
    <w:abstractNumId w:val="22"/>
  </w:num>
  <w:num w:numId="16">
    <w:abstractNumId w:val="48"/>
  </w:num>
  <w:num w:numId="17">
    <w:abstractNumId w:val="17"/>
  </w:num>
  <w:num w:numId="18">
    <w:abstractNumId w:val="43"/>
  </w:num>
  <w:num w:numId="19">
    <w:abstractNumId w:val="29"/>
  </w:num>
  <w:num w:numId="20">
    <w:abstractNumId w:val="1"/>
  </w:num>
  <w:num w:numId="21">
    <w:abstractNumId w:val="12"/>
  </w:num>
  <w:num w:numId="22">
    <w:abstractNumId w:val="2"/>
  </w:num>
  <w:num w:numId="23">
    <w:abstractNumId w:val="40"/>
  </w:num>
  <w:num w:numId="24">
    <w:abstractNumId w:val="60"/>
  </w:num>
  <w:num w:numId="25">
    <w:abstractNumId w:val="32"/>
  </w:num>
  <w:num w:numId="26">
    <w:abstractNumId w:val="27"/>
  </w:num>
  <w:num w:numId="27">
    <w:abstractNumId w:val="24"/>
  </w:num>
  <w:num w:numId="28">
    <w:abstractNumId w:val="36"/>
  </w:num>
  <w:num w:numId="29">
    <w:abstractNumId w:val="41"/>
  </w:num>
  <w:num w:numId="30">
    <w:abstractNumId w:val="38"/>
  </w:num>
  <w:num w:numId="31">
    <w:abstractNumId w:val="19"/>
  </w:num>
  <w:num w:numId="32">
    <w:abstractNumId w:val="18"/>
  </w:num>
  <w:num w:numId="33">
    <w:abstractNumId w:val="7"/>
  </w:num>
  <w:num w:numId="34">
    <w:abstractNumId w:val="47"/>
  </w:num>
  <w:num w:numId="35">
    <w:abstractNumId w:val="10"/>
  </w:num>
  <w:num w:numId="36">
    <w:abstractNumId w:val="62"/>
  </w:num>
  <w:num w:numId="37">
    <w:abstractNumId w:val="20"/>
  </w:num>
  <w:num w:numId="38">
    <w:abstractNumId w:val="28"/>
  </w:num>
  <w:num w:numId="39">
    <w:abstractNumId w:val="14"/>
  </w:num>
  <w:num w:numId="40">
    <w:abstractNumId w:val="21"/>
  </w:num>
  <w:num w:numId="41">
    <w:abstractNumId w:val="51"/>
  </w:num>
  <w:num w:numId="42">
    <w:abstractNumId w:val="16"/>
  </w:num>
  <w:num w:numId="43">
    <w:abstractNumId w:val="39"/>
  </w:num>
  <w:num w:numId="44">
    <w:abstractNumId w:val="56"/>
  </w:num>
  <w:num w:numId="45">
    <w:abstractNumId w:val="49"/>
  </w:num>
  <w:num w:numId="46">
    <w:abstractNumId w:val="63"/>
  </w:num>
  <w:num w:numId="47">
    <w:abstractNumId w:val="3"/>
  </w:num>
  <w:num w:numId="48">
    <w:abstractNumId w:val="37"/>
  </w:num>
  <w:num w:numId="49">
    <w:abstractNumId w:val="46"/>
  </w:num>
  <w:num w:numId="50">
    <w:abstractNumId w:val="59"/>
  </w:num>
  <w:num w:numId="51">
    <w:abstractNumId w:val="13"/>
  </w:num>
  <w:num w:numId="52">
    <w:abstractNumId w:val="15"/>
  </w:num>
  <w:num w:numId="53">
    <w:abstractNumId w:val="53"/>
  </w:num>
  <w:num w:numId="54">
    <w:abstractNumId w:val="6"/>
  </w:num>
  <w:num w:numId="55">
    <w:abstractNumId w:val="34"/>
  </w:num>
  <w:num w:numId="56">
    <w:abstractNumId w:val="31"/>
  </w:num>
  <w:num w:numId="57">
    <w:abstractNumId w:val="66"/>
  </w:num>
  <w:num w:numId="58">
    <w:abstractNumId w:val="33"/>
  </w:num>
  <w:num w:numId="59">
    <w:abstractNumId w:val="11"/>
  </w:num>
  <w:num w:numId="60">
    <w:abstractNumId w:val="8"/>
  </w:num>
  <w:num w:numId="61">
    <w:abstractNumId w:val="26"/>
  </w:num>
  <w:num w:numId="62">
    <w:abstractNumId w:val="68"/>
  </w:num>
  <w:num w:numId="63">
    <w:abstractNumId w:val="67"/>
  </w:num>
  <w:num w:numId="64">
    <w:abstractNumId w:val="25"/>
  </w:num>
  <w:num w:numId="65">
    <w:abstractNumId w:val="57"/>
  </w:num>
  <w:num w:numId="66">
    <w:abstractNumId w:val="5"/>
  </w:num>
  <w:num w:numId="67">
    <w:abstractNumId w:val="58"/>
  </w:num>
  <w:num w:numId="68">
    <w:abstractNumId w:val="65"/>
  </w:num>
  <w:num w:numId="69">
    <w:abstractNumId w:val="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526"/>
    <w:rsid w:val="00010B07"/>
    <w:rsid w:val="0002578A"/>
    <w:rsid w:val="0002585E"/>
    <w:rsid w:val="00074F2F"/>
    <w:rsid w:val="0009654A"/>
    <w:rsid w:val="00096B39"/>
    <w:rsid w:val="000C4F25"/>
    <w:rsid w:val="000E081C"/>
    <w:rsid w:val="000E2E90"/>
    <w:rsid w:val="000E3FC8"/>
    <w:rsid w:val="001242AB"/>
    <w:rsid w:val="00130CEF"/>
    <w:rsid w:val="0017112E"/>
    <w:rsid w:val="001A70A5"/>
    <w:rsid w:val="001D2555"/>
    <w:rsid w:val="001D69DC"/>
    <w:rsid w:val="002348E0"/>
    <w:rsid w:val="00235288"/>
    <w:rsid w:val="002469E7"/>
    <w:rsid w:val="002A3C6E"/>
    <w:rsid w:val="002B2388"/>
    <w:rsid w:val="002C5AEA"/>
    <w:rsid w:val="002E0E20"/>
    <w:rsid w:val="00316F86"/>
    <w:rsid w:val="00352B6D"/>
    <w:rsid w:val="003D6F79"/>
    <w:rsid w:val="00412993"/>
    <w:rsid w:val="00420123"/>
    <w:rsid w:val="00431B83"/>
    <w:rsid w:val="00432D5C"/>
    <w:rsid w:val="004A22FD"/>
    <w:rsid w:val="004A26F1"/>
    <w:rsid w:val="004B7887"/>
    <w:rsid w:val="004C5F04"/>
    <w:rsid w:val="004E7BEF"/>
    <w:rsid w:val="00562301"/>
    <w:rsid w:val="0057448F"/>
    <w:rsid w:val="005B5FD7"/>
    <w:rsid w:val="005C6BE0"/>
    <w:rsid w:val="005E3EE8"/>
    <w:rsid w:val="005F1FD7"/>
    <w:rsid w:val="00603877"/>
    <w:rsid w:val="006116BF"/>
    <w:rsid w:val="00656B69"/>
    <w:rsid w:val="00670C9D"/>
    <w:rsid w:val="006923BD"/>
    <w:rsid w:val="006F52A5"/>
    <w:rsid w:val="00723712"/>
    <w:rsid w:val="00741257"/>
    <w:rsid w:val="007A209E"/>
    <w:rsid w:val="007A499C"/>
    <w:rsid w:val="00823C57"/>
    <w:rsid w:val="00871CF2"/>
    <w:rsid w:val="008D10B0"/>
    <w:rsid w:val="00911B94"/>
    <w:rsid w:val="00967DDB"/>
    <w:rsid w:val="009738A9"/>
    <w:rsid w:val="00973DB3"/>
    <w:rsid w:val="009F1AD6"/>
    <w:rsid w:val="00A1659C"/>
    <w:rsid w:val="00A54525"/>
    <w:rsid w:val="00A83453"/>
    <w:rsid w:val="00A97F97"/>
    <w:rsid w:val="00AB6C5D"/>
    <w:rsid w:val="00B21A19"/>
    <w:rsid w:val="00B429C7"/>
    <w:rsid w:val="00B47122"/>
    <w:rsid w:val="00B56526"/>
    <w:rsid w:val="00BA1B7B"/>
    <w:rsid w:val="00BB42CB"/>
    <w:rsid w:val="00BB5AC5"/>
    <w:rsid w:val="00BC18BC"/>
    <w:rsid w:val="00BE2083"/>
    <w:rsid w:val="00C07171"/>
    <w:rsid w:val="00C37B11"/>
    <w:rsid w:val="00C43A6B"/>
    <w:rsid w:val="00C72AE7"/>
    <w:rsid w:val="00CF0FF7"/>
    <w:rsid w:val="00D273DE"/>
    <w:rsid w:val="00D64801"/>
    <w:rsid w:val="00DA1268"/>
    <w:rsid w:val="00DB13F1"/>
    <w:rsid w:val="00DC5066"/>
    <w:rsid w:val="00E009F0"/>
    <w:rsid w:val="00E35952"/>
    <w:rsid w:val="00E506E7"/>
    <w:rsid w:val="00E5233A"/>
    <w:rsid w:val="00E65D3D"/>
    <w:rsid w:val="00E67277"/>
    <w:rsid w:val="00EE2516"/>
    <w:rsid w:val="00F51764"/>
    <w:rsid w:val="00F51E98"/>
    <w:rsid w:val="00F9589E"/>
    <w:rsid w:val="00FA44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6EBE8"/>
  <w15:docId w15:val="{1C53772E-FD02-4823-A9D6-41403EF5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9F1AD6"/>
    <w:pPr>
      <w:keepNext/>
      <w:keepLines/>
      <w:spacing w:after="49" w:line="259" w:lineRule="auto"/>
      <w:ind w:left="10" w:hanging="10"/>
      <w:outlineLvl w:val="0"/>
    </w:pPr>
    <w:rPr>
      <w:rFonts w:ascii="Gotham Bold" w:eastAsia="Gotham Bold" w:hAnsi="Gotham Bold" w:cs="Gotham Bold"/>
      <w:color w:val="E40274"/>
      <w:sz w:val="32"/>
      <w:szCs w:val="22"/>
      <w:lang w:eastAsia="en-AU"/>
    </w:rPr>
  </w:style>
  <w:style w:type="paragraph" w:styleId="Heading2">
    <w:name w:val="heading 2"/>
    <w:basedOn w:val="Normal"/>
    <w:next w:val="Normal"/>
    <w:link w:val="Heading2Char"/>
    <w:uiPriority w:val="9"/>
    <w:semiHidden/>
    <w:unhideWhenUsed/>
    <w:qFormat/>
    <w:rsid w:val="00E009F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16BF"/>
    <w:pPr>
      <w:tabs>
        <w:tab w:val="center" w:pos="4513"/>
        <w:tab w:val="right" w:pos="9026"/>
      </w:tabs>
    </w:pPr>
  </w:style>
  <w:style w:type="character" w:customStyle="1" w:styleId="HeaderChar">
    <w:name w:val="Header Char"/>
    <w:basedOn w:val="DefaultParagraphFont"/>
    <w:link w:val="Header"/>
    <w:uiPriority w:val="99"/>
    <w:rsid w:val="006116BF"/>
  </w:style>
  <w:style w:type="paragraph" w:styleId="Footer">
    <w:name w:val="footer"/>
    <w:basedOn w:val="Normal"/>
    <w:link w:val="FooterChar"/>
    <w:uiPriority w:val="99"/>
    <w:unhideWhenUsed/>
    <w:rsid w:val="006116BF"/>
    <w:pPr>
      <w:tabs>
        <w:tab w:val="center" w:pos="4513"/>
        <w:tab w:val="right" w:pos="9026"/>
      </w:tabs>
    </w:pPr>
  </w:style>
  <w:style w:type="character" w:customStyle="1" w:styleId="FooterChar">
    <w:name w:val="Footer Char"/>
    <w:basedOn w:val="DefaultParagraphFont"/>
    <w:link w:val="Footer"/>
    <w:uiPriority w:val="99"/>
    <w:rsid w:val="006116BF"/>
  </w:style>
  <w:style w:type="paragraph" w:customStyle="1" w:styleId="BasicParagraph">
    <w:name w:val="[Basic Paragraph]"/>
    <w:basedOn w:val="Normal"/>
    <w:uiPriority w:val="99"/>
    <w:rsid w:val="006116BF"/>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odytextEASH">
    <w:name w:val="Bodytext_EASH"/>
    <w:basedOn w:val="BasicParagraph"/>
    <w:qFormat/>
    <w:rsid w:val="001A70A5"/>
    <w:pPr>
      <w:spacing w:before="60" w:after="60" w:line="360" w:lineRule="auto"/>
      <w:ind w:left="1418" w:right="1418"/>
    </w:pPr>
    <w:rPr>
      <w:rFonts w:ascii="Arial" w:hAnsi="Arial" w:cs="Arial"/>
      <w:color w:val="002F86" w:themeColor="text1"/>
      <w:sz w:val="20"/>
      <w:szCs w:val="20"/>
    </w:rPr>
  </w:style>
  <w:style w:type="paragraph" w:customStyle="1" w:styleId="SubheadingLevel1EASH">
    <w:name w:val="Subheading Level 1_EASH"/>
    <w:basedOn w:val="BodytextEASH"/>
    <w:qFormat/>
    <w:rsid w:val="00BB42CB"/>
    <w:pPr>
      <w:spacing w:before="100" w:after="100" w:line="240" w:lineRule="auto"/>
    </w:pPr>
    <w:rPr>
      <w:b/>
      <w:sz w:val="24"/>
      <w:lang w:val="en-AU"/>
    </w:rPr>
  </w:style>
  <w:style w:type="paragraph" w:customStyle="1" w:styleId="SubheadingLevel2EASH">
    <w:name w:val="Subheading Level 2_EASH"/>
    <w:basedOn w:val="BodytextEASH"/>
    <w:qFormat/>
    <w:rsid w:val="003D6F79"/>
    <w:rPr>
      <w:b/>
    </w:rPr>
  </w:style>
  <w:style w:type="table" w:styleId="TableGrid">
    <w:name w:val="Table Grid"/>
    <w:basedOn w:val="TableNormal"/>
    <w:uiPriority w:val="39"/>
    <w:rsid w:val="003D6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LeftalignedEASH">
    <w:name w:val="Table Heading Left aligned_EASH"/>
    <w:basedOn w:val="BodytextEASH"/>
    <w:qFormat/>
    <w:rsid w:val="001A70A5"/>
    <w:pPr>
      <w:spacing w:line="240" w:lineRule="auto"/>
      <w:ind w:left="0" w:right="0"/>
    </w:pPr>
    <w:rPr>
      <w:b/>
      <w:caps/>
      <w:sz w:val="16"/>
    </w:rPr>
  </w:style>
  <w:style w:type="paragraph" w:customStyle="1" w:styleId="TableHeadingRightalignedEASH">
    <w:name w:val="Table Heading Right aligned_EASH"/>
    <w:basedOn w:val="TableHeadingLeftalignedEASH"/>
    <w:qFormat/>
    <w:rsid w:val="000E2E90"/>
    <w:pPr>
      <w:jc w:val="right"/>
    </w:pPr>
  </w:style>
  <w:style w:type="paragraph" w:customStyle="1" w:styleId="TableContentLeftalignedEASH">
    <w:name w:val="Table Content Left aligned_EASH"/>
    <w:basedOn w:val="BodytextEASH"/>
    <w:qFormat/>
    <w:rsid w:val="001A70A5"/>
    <w:pPr>
      <w:ind w:left="0" w:right="0"/>
    </w:pPr>
  </w:style>
  <w:style w:type="paragraph" w:customStyle="1" w:styleId="TableContentRightalignedEASH">
    <w:name w:val="Table Content Right aligned_EASH"/>
    <w:basedOn w:val="TableContentLeftalignedEASH"/>
    <w:qFormat/>
    <w:rsid w:val="000E2E90"/>
    <w:pPr>
      <w:jc w:val="right"/>
    </w:pPr>
  </w:style>
  <w:style w:type="paragraph" w:customStyle="1" w:styleId="DocMainHeadingLevel1EASH">
    <w:name w:val="Doc Main Heading Level 1_EASH"/>
    <w:basedOn w:val="BodytextEASH"/>
    <w:qFormat/>
    <w:rsid w:val="001A70A5"/>
    <w:pPr>
      <w:spacing w:line="240" w:lineRule="auto"/>
    </w:pPr>
    <w:rPr>
      <w:b/>
      <w:sz w:val="36"/>
      <w:lang w:val="en-AU"/>
    </w:rPr>
  </w:style>
  <w:style w:type="paragraph" w:customStyle="1" w:styleId="DocMainHeadingLevel2EASH">
    <w:name w:val="Doc Main Heading Level 2_EASH"/>
    <w:basedOn w:val="DocMainHeadingLevel1EASH"/>
    <w:qFormat/>
    <w:rsid w:val="001D69DC"/>
    <w:rPr>
      <w:b w:val="0"/>
    </w:rPr>
  </w:style>
  <w:style w:type="paragraph" w:styleId="BalloonText">
    <w:name w:val="Balloon Text"/>
    <w:basedOn w:val="Normal"/>
    <w:link w:val="BalloonTextChar"/>
    <w:uiPriority w:val="99"/>
    <w:semiHidden/>
    <w:unhideWhenUsed/>
    <w:rsid w:val="00B56526"/>
    <w:rPr>
      <w:rFonts w:ascii="Tahoma" w:hAnsi="Tahoma" w:cs="Tahoma"/>
      <w:sz w:val="16"/>
      <w:szCs w:val="16"/>
    </w:rPr>
  </w:style>
  <w:style w:type="character" w:customStyle="1" w:styleId="BalloonTextChar">
    <w:name w:val="Balloon Text Char"/>
    <w:basedOn w:val="DefaultParagraphFont"/>
    <w:link w:val="BalloonText"/>
    <w:uiPriority w:val="99"/>
    <w:semiHidden/>
    <w:rsid w:val="00B56526"/>
    <w:rPr>
      <w:rFonts w:ascii="Tahoma" w:hAnsi="Tahoma" w:cs="Tahoma"/>
      <w:sz w:val="16"/>
      <w:szCs w:val="16"/>
    </w:rPr>
  </w:style>
  <w:style w:type="paragraph" w:customStyle="1" w:styleId="Body">
    <w:name w:val="Body"/>
    <w:basedOn w:val="Normal"/>
    <w:uiPriority w:val="99"/>
    <w:rsid w:val="00C72AE7"/>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ListParagraph">
    <w:name w:val="List Paragraph"/>
    <w:basedOn w:val="Normal"/>
    <w:uiPriority w:val="1"/>
    <w:qFormat/>
    <w:rsid w:val="001242AB"/>
    <w:pPr>
      <w:spacing w:after="160" w:line="259" w:lineRule="auto"/>
      <w:ind w:left="720"/>
      <w:contextualSpacing/>
    </w:pPr>
    <w:rPr>
      <w:sz w:val="22"/>
      <w:szCs w:val="22"/>
    </w:rPr>
  </w:style>
  <w:style w:type="paragraph" w:styleId="Title">
    <w:name w:val="Title"/>
    <w:basedOn w:val="Normal"/>
    <w:next w:val="Normal"/>
    <w:link w:val="TitleChar"/>
    <w:uiPriority w:val="10"/>
    <w:qFormat/>
    <w:rsid w:val="001242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42A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242AB"/>
    <w:rPr>
      <w:color w:val="0563C1" w:themeColor="hyperlink"/>
      <w:u w:val="single"/>
    </w:rPr>
  </w:style>
  <w:style w:type="table" w:customStyle="1" w:styleId="TableGridLight1">
    <w:name w:val="Table Grid Light1"/>
    <w:basedOn w:val="TableNormal"/>
    <w:uiPriority w:val="40"/>
    <w:rsid w:val="00DC5066"/>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F9589E"/>
    <w:rPr>
      <w:color w:val="605E5C"/>
      <w:shd w:val="clear" w:color="auto" w:fill="E1DFDD"/>
    </w:rPr>
  </w:style>
  <w:style w:type="paragraph" w:styleId="NoSpacing">
    <w:name w:val="No Spacing"/>
    <w:link w:val="NoSpacingChar"/>
    <w:uiPriority w:val="1"/>
    <w:qFormat/>
    <w:rsid w:val="00F9589E"/>
    <w:rPr>
      <w:sz w:val="22"/>
      <w:szCs w:val="22"/>
    </w:rPr>
  </w:style>
  <w:style w:type="character" w:customStyle="1" w:styleId="NoSpacingChar">
    <w:name w:val="No Spacing Char"/>
    <w:basedOn w:val="DefaultParagraphFont"/>
    <w:link w:val="NoSpacing"/>
    <w:uiPriority w:val="1"/>
    <w:rsid w:val="00F9589E"/>
    <w:rPr>
      <w:sz w:val="22"/>
      <w:szCs w:val="22"/>
    </w:rPr>
  </w:style>
  <w:style w:type="character" w:styleId="FollowedHyperlink">
    <w:name w:val="FollowedHyperlink"/>
    <w:basedOn w:val="DefaultParagraphFont"/>
    <w:uiPriority w:val="99"/>
    <w:semiHidden/>
    <w:unhideWhenUsed/>
    <w:rsid w:val="009F1AD6"/>
    <w:rPr>
      <w:color w:val="954F72" w:themeColor="followedHyperlink"/>
      <w:u w:val="single"/>
    </w:rPr>
  </w:style>
  <w:style w:type="character" w:customStyle="1" w:styleId="Heading1Char">
    <w:name w:val="Heading 1 Char"/>
    <w:basedOn w:val="DefaultParagraphFont"/>
    <w:link w:val="Heading1"/>
    <w:uiPriority w:val="9"/>
    <w:rsid w:val="009F1AD6"/>
    <w:rPr>
      <w:rFonts w:ascii="Gotham Bold" w:eastAsia="Gotham Bold" w:hAnsi="Gotham Bold" w:cs="Gotham Bold"/>
      <w:color w:val="E40274"/>
      <w:sz w:val="32"/>
      <w:szCs w:val="22"/>
      <w:lang w:eastAsia="en-AU"/>
    </w:rPr>
  </w:style>
  <w:style w:type="paragraph" w:styleId="NormalWeb">
    <w:name w:val="Normal (Web)"/>
    <w:basedOn w:val="Normal"/>
    <w:uiPriority w:val="99"/>
    <w:unhideWhenUsed/>
    <w:rsid w:val="009F1AD6"/>
    <w:pPr>
      <w:spacing w:before="100" w:beforeAutospacing="1" w:after="100" w:afterAutospacing="1"/>
    </w:pPr>
    <w:rPr>
      <w:rFonts w:ascii="Times New Roman" w:eastAsia="Times New Roman" w:hAnsi="Times New Roman" w:cs="Times New Roman"/>
      <w:lang w:eastAsia="en-AU"/>
    </w:rPr>
  </w:style>
  <w:style w:type="paragraph" w:styleId="BodyText">
    <w:name w:val="Body Text"/>
    <w:basedOn w:val="Normal"/>
    <w:link w:val="BodyTextChar"/>
    <w:uiPriority w:val="1"/>
    <w:unhideWhenUsed/>
    <w:qFormat/>
    <w:rsid w:val="009F1AD6"/>
    <w:pPr>
      <w:widowControl w:val="0"/>
      <w:autoSpaceDE w:val="0"/>
      <w:autoSpaceDN w:val="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9F1AD6"/>
    <w:rPr>
      <w:rFonts w:ascii="Calibri" w:eastAsia="Calibri" w:hAnsi="Calibri" w:cs="Calibri"/>
      <w:sz w:val="22"/>
      <w:szCs w:val="22"/>
      <w:lang w:val="en-US"/>
    </w:rPr>
  </w:style>
  <w:style w:type="paragraph" w:customStyle="1" w:styleId="TableParagraph">
    <w:name w:val="Table Paragraph"/>
    <w:basedOn w:val="Normal"/>
    <w:uiPriority w:val="1"/>
    <w:qFormat/>
    <w:rsid w:val="009F1AD6"/>
    <w:pPr>
      <w:widowControl w:val="0"/>
      <w:autoSpaceDE w:val="0"/>
      <w:autoSpaceDN w:val="0"/>
    </w:pPr>
    <w:rPr>
      <w:rFonts w:ascii="Calibri" w:eastAsia="Calibri" w:hAnsi="Calibri" w:cs="Calibri"/>
      <w:sz w:val="22"/>
      <w:szCs w:val="22"/>
      <w:lang w:val="en-US"/>
    </w:rPr>
  </w:style>
  <w:style w:type="paragraph" w:customStyle="1" w:styleId="Default">
    <w:name w:val="Default"/>
    <w:rsid w:val="00D64801"/>
    <w:pPr>
      <w:autoSpaceDE w:val="0"/>
      <w:autoSpaceDN w:val="0"/>
      <w:adjustRightInd w:val="0"/>
    </w:pPr>
    <w:rPr>
      <w:rFonts w:ascii="Calibri" w:hAnsi="Calibri" w:cs="Calibri"/>
      <w:color w:val="000000"/>
    </w:rPr>
  </w:style>
  <w:style w:type="character" w:styleId="CommentReference">
    <w:name w:val="annotation reference"/>
    <w:uiPriority w:val="99"/>
    <w:rsid w:val="00D64801"/>
    <w:rPr>
      <w:sz w:val="16"/>
      <w:szCs w:val="16"/>
    </w:rPr>
  </w:style>
  <w:style w:type="paragraph" w:styleId="CommentText">
    <w:name w:val="annotation text"/>
    <w:basedOn w:val="Normal"/>
    <w:link w:val="CommentTextChar"/>
    <w:uiPriority w:val="99"/>
    <w:rsid w:val="00D64801"/>
    <w:rPr>
      <w:rFonts w:ascii="Arial" w:eastAsia="Times New Roman" w:hAnsi="Arial" w:cs="Arial"/>
      <w:sz w:val="20"/>
      <w:szCs w:val="20"/>
      <w:lang w:eastAsia="en-AU"/>
    </w:rPr>
  </w:style>
  <w:style w:type="character" w:customStyle="1" w:styleId="CommentTextChar">
    <w:name w:val="Comment Text Char"/>
    <w:basedOn w:val="DefaultParagraphFont"/>
    <w:link w:val="CommentText"/>
    <w:uiPriority w:val="99"/>
    <w:rsid w:val="00D64801"/>
    <w:rPr>
      <w:rFonts w:ascii="Arial" w:eastAsia="Times New Roman" w:hAnsi="Arial" w:cs="Arial"/>
      <w:sz w:val="20"/>
      <w:szCs w:val="20"/>
      <w:lang w:eastAsia="en-AU"/>
    </w:rPr>
  </w:style>
  <w:style w:type="character" w:customStyle="1" w:styleId="Heading2Char">
    <w:name w:val="Heading 2 Char"/>
    <w:basedOn w:val="DefaultParagraphFont"/>
    <w:link w:val="Heading2"/>
    <w:uiPriority w:val="9"/>
    <w:semiHidden/>
    <w:rsid w:val="00E009F0"/>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2469E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2469E7"/>
    <w:rPr>
      <w:rFonts w:ascii="Arial" w:eastAsia="Times New Roman" w:hAnsi="Arial" w:cs="Arial"/>
      <w:b/>
      <w:bCs/>
      <w:sz w:val="20"/>
      <w:szCs w:val="20"/>
      <w:lang w:eastAsia="en-AU"/>
    </w:rPr>
  </w:style>
  <w:style w:type="paragraph" w:styleId="TOCHeading">
    <w:name w:val="TOC Heading"/>
    <w:basedOn w:val="Heading1"/>
    <w:next w:val="Normal"/>
    <w:uiPriority w:val="39"/>
    <w:unhideWhenUsed/>
    <w:qFormat/>
    <w:rsid w:val="00BB42CB"/>
    <w:pPr>
      <w:spacing w:before="240" w:after="0"/>
      <w:ind w:left="0" w:firstLine="0"/>
      <w:outlineLvl w:val="9"/>
    </w:pPr>
    <w:rPr>
      <w:rFonts w:asciiTheme="majorHAnsi" w:eastAsiaTheme="majorEastAsia" w:hAnsiTheme="majorHAnsi" w:cstheme="majorBidi"/>
      <w:color w:val="2F5496" w:themeColor="accent1" w:themeShade="BF"/>
      <w:szCs w:val="32"/>
      <w:lang w:val="en-US" w:eastAsia="en-US"/>
    </w:rPr>
  </w:style>
  <w:style w:type="paragraph" w:styleId="TOC2">
    <w:name w:val="toc 2"/>
    <w:basedOn w:val="Normal"/>
    <w:next w:val="Normal"/>
    <w:autoRedefine/>
    <w:uiPriority w:val="39"/>
    <w:unhideWhenUsed/>
    <w:rsid w:val="00BB42CB"/>
    <w:pPr>
      <w:spacing w:after="100"/>
      <w:ind w:left="240"/>
    </w:pPr>
  </w:style>
  <w:style w:type="paragraph" w:styleId="TOC1">
    <w:name w:val="toc 1"/>
    <w:basedOn w:val="Normal"/>
    <w:next w:val="Normal"/>
    <w:autoRedefine/>
    <w:uiPriority w:val="39"/>
    <w:unhideWhenUsed/>
    <w:rsid w:val="00BB42CB"/>
    <w:pPr>
      <w:spacing w:after="100"/>
    </w:pPr>
  </w:style>
  <w:style w:type="paragraph" w:styleId="TOC3">
    <w:name w:val="toc 3"/>
    <w:basedOn w:val="Normal"/>
    <w:next w:val="Normal"/>
    <w:autoRedefine/>
    <w:uiPriority w:val="39"/>
    <w:unhideWhenUsed/>
    <w:rsid w:val="00074F2F"/>
    <w:pPr>
      <w:spacing w:after="100" w:line="259" w:lineRule="auto"/>
      <w:ind w:left="440"/>
    </w:pPr>
    <w:rPr>
      <w:rFonts w:eastAsiaTheme="minorEastAsia"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49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initiatives-and-programs/covid-19-vaccines/approved-vaccines/moderna" TargetMode="External"/><Relationship Id="rId117" Type="http://schemas.openxmlformats.org/officeDocument/2006/relationships/hyperlink" Target="https://www.ncbi.nlm.nih.gov/pubmed/29700827" TargetMode="External"/><Relationship Id="rId21" Type="http://schemas.openxmlformats.org/officeDocument/2006/relationships/hyperlink" Target="https://www.nejm.org/doi/full/10.1056/nejmoa2104983" TargetMode="External"/><Relationship Id="rId42" Type="http://schemas.openxmlformats.org/officeDocument/2006/relationships/hyperlink" Target="https://adf.org.au/insights/alcohol-and-pregnancy/" TargetMode="External"/><Relationship Id="rId47" Type="http://schemas.openxmlformats.org/officeDocument/2006/relationships/hyperlink" Target="https://www.health.gov.au/initiatives-and-programs/covid-19-vaccines/getting-vaccinated-for-covid-19/when-will-i-get-a-covid-19-vaccine?fbclid=IwAR31durlNhPiS8NO9J6qMFqqrI0UK2_U5aP14gDa84Ch_d-00ndrxtUTp2U" TargetMode="External"/><Relationship Id="rId63" Type="http://schemas.openxmlformats.org/officeDocument/2006/relationships/hyperlink" Target="https://www.betterhealth.vic.gov.au/health/healthyliving/pregnancy-medication-drugs-and-alcohol" TargetMode="External"/><Relationship Id="rId68" Type="http://schemas.openxmlformats.org/officeDocument/2006/relationships/hyperlink" Target="https://www.vcgs.org.au/tests" TargetMode="External"/><Relationship Id="rId84" Type="http://schemas.openxmlformats.org/officeDocument/2006/relationships/hyperlink" Target="http://www.sti.guidelines.org.au/populations-and-situations/pregnant-women" TargetMode="External"/><Relationship Id="rId89" Type="http://schemas.openxmlformats.org/officeDocument/2006/relationships/hyperlink" Target="https://www.health.gov.au/resources/pregnancy-care-guidelines/part-g-targeted-maternal-health-tests" TargetMode="External"/><Relationship Id="rId112" Type="http://schemas.openxmlformats.org/officeDocument/2006/relationships/hyperlink" Target="https://1-midwives.cdn.aspedia.net/sites/default/files/uploaded-content/field_f_content_file/with_covers_guidelines_3rd_edition_issue_2_final_2017.pdf" TargetMode="External"/><Relationship Id="rId133" Type="http://schemas.openxmlformats.org/officeDocument/2006/relationships/hyperlink" Target="https://www.ncbi.nlm.nih.gov/pmc/articles/PMC4946587/" TargetMode="External"/><Relationship Id="rId138" Type="http://schemas.openxmlformats.org/officeDocument/2006/relationships/hyperlink" Target="https://www.blood.gov.au/document/guidelines-prophylatic-use-rh-d-immunoglobulin-anti-d-obstetrics-pdf" TargetMode="External"/><Relationship Id="rId154" Type="http://schemas.openxmlformats.org/officeDocument/2006/relationships/hyperlink" Target="https://www.nhmrc.gov.au/about-us/publications/vitamin-k-administration-newborns-joint-statement" TargetMode="External"/><Relationship Id="rId159" Type="http://schemas.openxmlformats.org/officeDocument/2006/relationships/hyperlink" Target="https://www.rch.org.au/vihsp/resources/Brochures/" TargetMode="External"/><Relationship Id="rId175" Type="http://schemas.openxmlformats.org/officeDocument/2006/relationships/hyperlink" Target="https://www.health.gov.au/health-topics/immunisation" TargetMode="External"/><Relationship Id="rId170" Type="http://schemas.openxmlformats.org/officeDocument/2006/relationships/hyperlink" Target="https://www.continence.org.au/who-it-affects/women/pregnancy-and-childbirth" TargetMode="External"/><Relationship Id="rId191" Type="http://schemas.microsoft.com/office/2016/09/relationships/commentsIds" Target="commentsIds.xml"/><Relationship Id="rId16" Type="http://schemas.openxmlformats.org/officeDocument/2006/relationships/hyperlink" Target="mailto:gpliaisonofficer@easternhealth.org.au" TargetMode="External"/><Relationship Id="rId107" Type="http://schemas.openxmlformats.org/officeDocument/2006/relationships/image" Target="media/image8.png"/><Relationship Id="rId11" Type="http://schemas.openxmlformats.org/officeDocument/2006/relationships/image" Target="media/image1.png"/><Relationship Id="rId32" Type="http://schemas.openxmlformats.org/officeDocument/2006/relationships/hyperlink" Target="http://acmcovid19info.org/" TargetMode="External"/><Relationship Id="rId37" Type="http://schemas.openxmlformats.org/officeDocument/2006/relationships/hyperlink" Target="https://www.cope.org.au/health-professionals/health-professionals-3/calculating-score-epds/" TargetMode="External"/><Relationship Id="rId53" Type="http://schemas.openxmlformats.org/officeDocument/2006/relationships/hyperlink" Target="https://www.easternhealth.org.au/services/maternity-services/i-am-pregnant/first-14-weeks/pregnancy-care-options/shared-maternity-care-with-your-gp/item/139" TargetMode="External"/><Relationship Id="rId58" Type="http://schemas.openxmlformats.org/officeDocument/2006/relationships/hyperlink" Target="https://www.cope.org.au/health-professionals/health-professionals-3/calculating-score-epds/" TargetMode="External"/><Relationship Id="rId74" Type="http://schemas.openxmlformats.org/officeDocument/2006/relationships/hyperlink" Target="https://www.easternhealth.org.au/site/item/65-outpatients" TargetMode="External"/><Relationship Id="rId79" Type="http://schemas.openxmlformats.org/officeDocument/2006/relationships/hyperlink" Target="https://www.health.gov.au/resources/pregnancy-care-guidelines/part-d-clinical-assessments/gestational-age" TargetMode="External"/><Relationship Id="rId102" Type="http://schemas.openxmlformats.org/officeDocument/2006/relationships/hyperlink" Target="https://resources.stillbirthcre.org.au/elearn/resources/FGR%20Management%20Pathway_V4.pdf" TargetMode="External"/><Relationship Id="rId123" Type="http://schemas.openxmlformats.org/officeDocument/2006/relationships/hyperlink" Target="https://www.ajog.org/article/S0002-9378(17)32478-X/pdf?code=ymob-site" TargetMode="External"/><Relationship Id="rId128" Type="http://schemas.openxmlformats.org/officeDocument/2006/relationships/hyperlink" Target="https://resources.stillbirthcre.org.au/elearn/resources/FGR%20Management%20Pathway_V4.pdf" TargetMode="External"/><Relationship Id="rId144" Type="http://schemas.openxmlformats.org/officeDocument/2006/relationships/hyperlink" Target="https://www.diabetesaustralia.com.au/covid-19-updates-for-health-professionals" TargetMode="External"/><Relationship Id="rId149" Type="http://schemas.openxmlformats.org/officeDocument/2006/relationships/hyperlink" Target="http://www.who.int/vmnis/indicators/haemoglobin.pdf" TargetMode="External"/><Relationship Id="rId5" Type="http://schemas.openxmlformats.org/officeDocument/2006/relationships/numbering" Target="numbering.xml"/><Relationship Id="rId90" Type="http://schemas.openxmlformats.org/officeDocument/2006/relationships/hyperlink" Target="https://www2.health.vic.gov.au/about/news-and-events/healthalerts/congenital-syphilis" TargetMode="External"/><Relationship Id="rId95" Type="http://schemas.openxmlformats.org/officeDocument/2006/relationships/hyperlink" Target="https://ranzcog.edu.au/RANZCOG_SITE/media/RANZCOG-MEDIA/Women%27s%20Health/Statement%20and%20guidelines/Clinical-Obstetrics/Routine-antenatal-assessment-in-the-absence-of-pregnancy-complications-(C-Obs-3b)_2.pdf?ext=.pdf" TargetMode="External"/><Relationship Id="rId160" Type="http://schemas.openxmlformats.org/officeDocument/2006/relationships/hyperlink" Target="https://www.vcgs.org.au/tests/newborn-bloodspot-screening" TargetMode="External"/><Relationship Id="rId165" Type="http://schemas.openxmlformats.org/officeDocument/2006/relationships/hyperlink" Target="https://www.breastfeeding.asn.au/" TargetMode="External"/><Relationship Id="rId181" Type="http://schemas.openxmlformats.org/officeDocument/2006/relationships/hyperlink" Target="https://www.safesteps.org.au/" TargetMode="External"/><Relationship Id="rId186" Type="http://schemas.openxmlformats.org/officeDocument/2006/relationships/header" Target="header3.xml"/><Relationship Id="rId22" Type="http://schemas.openxmlformats.org/officeDocument/2006/relationships/hyperlink" Target="https://www.health.gov.au/initiatives-and-programs/covid-19-vaccines/getting-your-vaccination/booster-doses" TargetMode="External"/><Relationship Id="rId27" Type="http://schemas.openxmlformats.org/officeDocument/2006/relationships/hyperlink" Target="https://www.jeanhailes.org.au/resources/vaccines-safety-and-women" TargetMode="External"/><Relationship Id="rId43" Type="http://schemas.openxmlformats.org/officeDocument/2006/relationships/hyperlink" Target="https://monashhealth.org/health-professionals/medicines-information-centre/" TargetMode="External"/><Relationship Id="rId48" Type="http://schemas.openxmlformats.org/officeDocument/2006/relationships/hyperlink" Target="https://immunisationhandbook.health.gov.au/vaccination-for-special-risk-groups/vaccination-for-women-who-are-planning-pregnancy-pregnant-or" TargetMode="External"/><Relationship Id="rId64" Type="http://schemas.openxmlformats.org/officeDocument/2006/relationships/hyperlink" Target="https://www.thewomens.org.au/health-professionals/for-gps/shared-maternity-care/shared-care-guidelines" TargetMode="External"/><Relationship Id="rId69" Type="http://schemas.openxmlformats.org/officeDocument/2006/relationships/hyperlink" Target="https://www.easternhealth.org.au/services/maternity-services/i-am-pregnant/first-14-weeks/pregnancy-care-options/shared-maternity-care-with-your-gp/item/139" TargetMode="External"/><Relationship Id="rId113" Type="http://schemas.openxmlformats.org/officeDocument/2006/relationships/hyperlink" Target="http://www.bmj.com/content/341/bmj.c7087" TargetMode="External"/><Relationship Id="rId118" Type="http://schemas.openxmlformats.org/officeDocument/2006/relationships/hyperlink" Target="https://www.ncbi.nlm.nih.gov/pubmed/21496916" TargetMode="External"/><Relationship Id="rId134" Type="http://schemas.openxmlformats.org/officeDocument/2006/relationships/hyperlink" Target="https://www.ncbi.nlm.nih.gov/pmc/articles/PMC4946587/" TargetMode="External"/><Relationship Id="rId139" Type="http://schemas.openxmlformats.org/officeDocument/2006/relationships/hyperlink" Target="https://www.nslhd.health.nsw.gov.au/Services/Directory/Documents/FAQs%20Use%20of%20Rh%20(D)%20Immunoglobulin.pdf" TargetMode="External"/><Relationship Id="rId80" Type="http://schemas.openxmlformats.org/officeDocument/2006/relationships/hyperlink" Target="https://www.vcgs.org.au/tests/perceptnipt" TargetMode="External"/><Relationship Id="rId85" Type="http://schemas.openxmlformats.org/officeDocument/2006/relationships/hyperlink" Target="https://www.health.gov.au/resources/pregnancy-care-guidelines/part-d-clinical-assessments/gestational-age" TargetMode="External"/><Relationship Id="rId150" Type="http://schemas.openxmlformats.org/officeDocument/2006/relationships/hyperlink" Target="https://www.cope.org.au/health-professionals/health-professionals-3/calculating-score-epds/" TargetMode="External"/><Relationship Id="rId155" Type="http://schemas.openxmlformats.org/officeDocument/2006/relationships/hyperlink" Target="https://www.nhmrc.gov.au/about-us/resources/vitamin-k-newborn-babies-information-parents" TargetMode="External"/><Relationship Id="rId171" Type="http://schemas.openxmlformats.org/officeDocument/2006/relationships/hyperlink" Target="https://www.jeanhailes.org.au/health-a-z/sex-sexual-health/painful-sex-dyspareunia" TargetMode="External"/><Relationship Id="rId176" Type="http://schemas.openxmlformats.org/officeDocument/2006/relationships/hyperlink" Target="https://rednose.org.au/" TargetMode="External"/><Relationship Id="rId12" Type="http://schemas.openxmlformats.org/officeDocument/2006/relationships/image" Target="media/image2.png"/><Relationship Id="rId17" Type="http://schemas.openxmlformats.org/officeDocument/2006/relationships/hyperlink" Target="mailto:gpliaisonofficer@easternhealth.org.au" TargetMode="External"/><Relationship Id="rId33" Type="http://schemas.openxmlformats.org/officeDocument/2006/relationships/hyperlink" Target="https://midwifecathsvillage.com.au/pregnancy-covid-19-and-vaccination-with-professor-alison-mcmillan/" TargetMode="External"/><Relationship Id="rId38" Type="http://schemas.openxmlformats.org/officeDocument/2006/relationships/hyperlink" Target="https://www.betterhealth.vic.gov.au/health/healthyliving/pregnancy-and-diet" TargetMode="External"/><Relationship Id="rId59" Type="http://schemas.openxmlformats.org/officeDocument/2006/relationships/hyperlink" Target="https://www.health.gov.au/resources/pregnancy-care-guidelines/part-d-clinical-assessments/gestational-age" TargetMode="External"/><Relationship Id="rId103" Type="http://schemas.openxmlformats.org/officeDocument/2006/relationships/image" Target="media/image4.png"/><Relationship Id="rId108" Type="http://schemas.openxmlformats.org/officeDocument/2006/relationships/hyperlink" Target="https://resources.stillbirthcre.org.au/elearn/resources/FGR%20Management%20Pathway_V4.pdf" TargetMode="External"/><Relationship Id="rId124" Type="http://schemas.openxmlformats.org/officeDocument/2006/relationships/hyperlink" Target="https://www.nice.org.uk/" TargetMode="External"/><Relationship Id="rId129" Type="http://schemas.openxmlformats.org/officeDocument/2006/relationships/hyperlink" Target="https://www.stillbirthcre.org.au/safer-baby-bundle/improving-detection-and-management-of-fetal-growth-restriction/" TargetMode="External"/><Relationship Id="rId54" Type="http://schemas.openxmlformats.org/officeDocument/2006/relationships/hyperlink" Target="https://au.healthlink.net/au_registration/" TargetMode="External"/><Relationship Id="rId70" Type="http://schemas.openxmlformats.org/officeDocument/2006/relationships/hyperlink" Target="https://www2.health.vic.gov.au/hospitals-and-health-services/patient-care/perinatal-reproductive/maternity-newborn-services/maternity-newborn-care" TargetMode="External"/><Relationship Id="rId75" Type="http://schemas.openxmlformats.org/officeDocument/2006/relationships/hyperlink" Target="https://www.easternhealth.org.au/site/item/65-outpatients" TargetMode="External"/><Relationship Id="rId91" Type="http://schemas.openxmlformats.org/officeDocument/2006/relationships/hyperlink" Target="https://www.health.gov.au/resources/pregnancy-care-guidelines/part-h-fetal-chromosomal-anomalies" TargetMode="External"/><Relationship Id="rId96" Type="http://schemas.openxmlformats.org/officeDocument/2006/relationships/hyperlink" Target="https://ranzcog.edu.au/RANZCOG_SITE/media/RANZCOGMEDIA/Women%27s%20Health/Statement%20and%20guidelines/Clinical-Obstetrics/Routine-antenatal-assessment-in-the-absence-of-pregnancy-complications-(C-Obs-3b)_2.pdf?ext=.pdf" TargetMode="External"/><Relationship Id="rId140" Type="http://schemas.openxmlformats.org/officeDocument/2006/relationships/hyperlink" Target="https://transfusion.com.au/node/2234" TargetMode="External"/><Relationship Id="rId145" Type="http://schemas.openxmlformats.org/officeDocument/2006/relationships/hyperlink" Target="https://www.blood.gov.au/document/guidelines-prophylatic-use-rh-d-immunoglobulin-anti-d-obstetrics-pdf" TargetMode="External"/><Relationship Id="rId161" Type="http://schemas.openxmlformats.org/officeDocument/2006/relationships/hyperlink" Target="https://www.vcgs.org.au/sites/default/files/NewbornBrochure.pdf" TargetMode="External"/><Relationship Id="rId166" Type="http://schemas.openxmlformats.org/officeDocument/2006/relationships/hyperlink" Target="https://www.lcanz.org/" TargetMode="External"/><Relationship Id="rId182" Type="http://schemas.openxmlformats.org/officeDocument/2006/relationships/header" Target="header1.xm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health.govcms.gov.au/initiatives-and-programs/covid-19-vaccines/getting-your-vaccination/stay-up-to-date" TargetMode="External"/><Relationship Id="rId28" Type="http://schemas.openxmlformats.org/officeDocument/2006/relationships/hyperlink" Target="https://vimeo.com/606222671" TargetMode="External"/><Relationship Id="rId49" Type="http://schemas.openxmlformats.org/officeDocument/2006/relationships/hyperlink" Target="https://immunisationhandbook.health.gov.au/vaccination-for-special-risk-groups/vaccination-for-women-who-are-planning-pregnancy-pregnant-or" TargetMode="External"/><Relationship Id="rId114" Type="http://schemas.openxmlformats.org/officeDocument/2006/relationships/hyperlink" Target="https://www.ajog.org/article/S0002-9378(08)02244-8/pdf" TargetMode="External"/><Relationship Id="rId119" Type="http://schemas.openxmlformats.org/officeDocument/2006/relationships/hyperlink" Target="https://www.stillbirthcre.org.au/assets/Uploads/DFM-Clinical-Practice-Guideline-10-%20August-2017.pdf" TargetMode="External"/><Relationship Id="rId44" Type="http://schemas.openxmlformats.org/officeDocument/2006/relationships/hyperlink" Target="mailto:drug.information@thewomens.org.au" TargetMode="External"/><Relationship Id="rId60" Type="http://schemas.openxmlformats.org/officeDocument/2006/relationships/hyperlink" Target="https://www.health.gov.au/resources/pregnancy-care-guidelines/part-e-social-and-emotional-screening" TargetMode="External"/><Relationship Id="rId65" Type="http://schemas.openxmlformats.org/officeDocument/2006/relationships/hyperlink" Target="https://www.eatforhealth.gov.au/sites/default/files/content/The%20Guidelines/n55h_healthy_eating_during_pregnancy_0_0.pdf" TargetMode="External"/><Relationship Id="rId81" Type="http://schemas.openxmlformats.org/officeDocument/2006/relationships/hyperlink" Target="https://www.vcgs.org.au/tests/maternal-serum-screening" TargetMode="External"/><Relationship Id="rId86" Type="http://schemas.openxmlformats.org/officeDocument/2006/relationships/hyperlink" Target="https://www.pregnancybirthbaby.org.au/due-date-calculator" TargetMode="External"/><Relationship Id="rId130" Type="http://schemas.openxmlformats.org/officeDocument/2006/relationships/hyperlink" Target="https://resources.stillbirthcre.org.au/elearn/resources/DFM%20Management%20Pathway.pdf" TargetMode="External"/><Relationship Id="rId135" Type="http://schemas.openxmlformats.org/officeDocument/2006/relationships/hyperlink" Target="https://diabetessociety.com.au/downloads/20200404%20COVID-19%20GDM%20Diagnosis%20030420%20ADIPS%20ADS%20ADEA%20DA%20for%20Website%20.pdf" TargetMode="External"/><Relationship Id="rId151" Type="http://schemas.openxmlformats.org/officeDocument/2006/relationships/hyperlink" Target="https://panda.org.au/" TargetMode="External"/><Relationship Id="rId156" Type="http://schemas.openxmlformats.org/officeDocument/2006/relationships/hyperlink" Target="https://immunisationhandbook.health.gov.au/vaccine-preventable-diseases/hepatitis-b" TargetMode="External"/><Relationship Id="rId177" Type="http://schemas.openxmlformats.org/officeDocument/2006/relationships/hyperlink" Target="https://www.1800respect.org.au/" TargetMode="External"/><Relationship Id="rId172" Type="http://schemas.openxmlformats.org/officeDocument/2006/relationships/hyperlink" Target="http://www.cancerscreening.gov.au/internet/screening/publishing.nsf/Content/cervical-screening-1" TargetMode="External"/><Relationship Id="rId13" Type="http://schemas.openxmlformats.org/officeDocument/2006/relationships/image" Target="media/image3.png"/><Relationship Id="rId18" Type="http://schemas.openxmlformats.org/officeDocument/2006/relationships/hyperlink" Target="mailto:Penny.gaskell@easternhealth.org.au" TargetMode="External"/><Relationship Id="rId39" Type="http://schemas.openxmlformats.org/officeDocument/2006/relationships/hyperlink" Target="https://www.betterhealth.vic.gov.au/health/healthyliving/pregnancy-and-diet" TargetMode="External"/><Relationship Id="rId109" Type="http://schemas.openxmlformats.org/officeDocument/2006/relationships/hyperlink" Target="https://resources.stillbirthcre.org.au/elearn/resources/FGR%20Management%20Pathway_V4.pdf" TargetMode="External"/><Relationship Id="rId34" Type="http://schemas.openxmlformats.org/officeDocument/2006/relationships/hyperlink" Target="https://www.easternhealth.org.au/images/hand_held.pdf" TargetMode="External"/><Relationship Id="rId50" Type="http://schemas.openxmlformats.org/officeDocument/2006/relationships/hyperlink" Target="https://immunisationhandbook.health.gov.au/resources/handbook-tables/table-vaccines-that-are-contraindicated-in-pregnancy-live-attenuated" TargetMode="External"/><Relationship Id="rId55" Type="http://schemas.openxmlformats.org/officeDocument/2006/relationships/hyperlink" Target="https://www.easternhealth.org.au/services/item/639-obstetric-medicine" TargetMode="External"/><Relationship Id="rId76" Type="http://schemas.openxmlformats.org/officeDocument/2006/relationships/hyperlink" Target="https://ashm.org.au/resources/australian-sti-management-guidelines/" TargetMode="External"/><Relationship Id="rId97" Type="http://schemas.openxmlformats.org/officeDocument/2006/relationships/hyperlink" Target="https://www.health.gov.au/resources/pregnancy-care-guidelines/part-f-routine-maternal-health-tests" TargetMode="External"/><Relationship Id="rId104" Type="http://schemas.openxmlformats.org/officeDocument/2006/relationships/image" Target="media/image5.png"/><Relationship Id="rId120" Type="http://schemas.openxmlformats.org/officeDocument/2006/relationships/hyperlink" Target="https://www.ajog.org/article/S0002-9378(17)32486-9/pdf" TargetMode="External"/><Relationship Id="rId125" Type="http://schemas.openxmlformats.org/officeDocument/2006/relationships/hyperlink" Target="http://www.asum.com.au/wp-content/uploads/2015/09/NZMFM-SGA-Guideline-September-2013.pdf" TargetMode="External"/><Relationship Id="rId141" Type="http://schemas.openxmlformats.org/officeDocument/2006/relationships/hyperlink" Target="https://www.adips.org/resources-pregnancy-and-diabetes.asp" TargetMode="External"/><Relationship Id="rId146" Type="http://schemas.openxmlformats.org/officeDocument/2006/relationships/hyperlink" Target="https://ranzcog.edu.au/RANZCOG_SITE/media/RANZCOG-MEDIA/Women%27s%20Health/Statement%20and%20guidelines/Clinical-Obstetrics/Diagnosis-of-GDM-(C-Obs-7)-review-July-2017.pdf?ext=.pdf" TargetMode="External"/><Relationship Id="rId167" Type="http://schemas.openxmlformats.org/officeDocument/2006/relationships/hyperlink" Target="https://www.easternhealth.org.au/images/services/obstet_and_mat_isobar.pdf" TargetMode="External"/><Relationship Id="rId18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easternhealth.org.au/services/maternity-services/i-am-pregnant/maternity-booking-form" TargetMode="External"/><Relationship Id="rId92" Type="http://schemas.openxmlformats.org/officeDocument/2006/relationships/hyperlink" Target="https://www.health.gov.au/resources/pregnancy-care-guidelines/part-d-clinical-assessments/fetal-development-and-anatomy" TargetMode="External"/><Relationship Id="rId162" Type="http://schemas.openxmlformats.org/officeDocument/2006/relationships/hyperlink" Target="https://www.bettersafercare.vic.gov.au/resources/clinical-guidance/maternity-and-newborn/jaundice-in-neonates" TargetMode="Externa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linktr.ee/RANZCOG" TargetMode="External"/><Relationship Id="rId24" Type="http://schemas.openxmlformats.org/officeDocument/2006/relationships/hyperlink" Target="https://www.health.gov.au/initiatives-and-programs/covid-19-vaccines/getting-your-vaccination/after" TargetMode="External"/><Relationship Id="rId40" Type="http://schemas.openxmlformats.org/officeDocument/2006/relationships/hyperlink" Target="https://ranzcog.edu.au/RANZCOG_SITE/media/RANZCOG-MEDIA/Women%27s%20Health/Patient%20information/Exercise-during-pregnancy-pamphlet.pdf?ext=.pdf" TargetMode="External"/><Relationship Id="rId45" Type="http://schemas.openxmlformats.org/officeDocument/2006/relationships/hyperlink" Target="https://www.thewomens.org.au/patients-visitors/clinics-and-services/support-services/medicines-information" TargetMode="External"/><Relationship Id="rId66" Type="http://schemas.openxmlformats.org/officeDocument/2006/relationships/hyperlink" Target="https://ranzcog.edu.au/RANZCOG_SITE/media/RANZCOG-MEDIA/Women%27s%20Health/Statement%20and%20guidelines/Clinical-Obstetrics/Exercise-during-pregnancy-(C-Obs-62).pdf?ext=.pdf" TargetMode="External"/><Relationship Id="rId87" Type="http://schemas.openxmlformats.org/officeDocument/2006/relationships/hyperlink" Target="https://wiki.cancer.org.au/australia/Clinical_question:Screening_in_pregnancy" TargetMode="External"/><Relationship Id="rId110" Type="http://schemas.openxmlformats.org/officeDocument/2006/relationships/hyperlink" Target="https://resources.stillbirthcre.org.au/elearn/resources/Element%202_Fetal%20Growth%20Restriction%20Position%20Statement.pdf" TargetMode="External"/><Relationship Id="rId115" Type="http://schemas.openxmlformats.org/officeDocument/2006/relationships/hyperlink" Target="https://www.health.gov.au/resources/pregnancy-care-guidelines/part-d-clinical-assessments/fetal-growth-restriction-and-well-being" TargetMode="External"/><Relationship Id="rId131" Type="http://schemas.openxmlformats.org/officeDocument/2006/relationships/hyperlink" Target="https://www.stillbirthcre.org.au/safer-baby-bundle/raising-awareness-and-improving-care-for-women-with-decreased-fetal-movements/" TargetMode="External"/><Relationship Id="rId136" Type="http://schemas.openxmlformats.org/officeDocument/2006/relationships/hyperlink" Target="https://www.easternhealth.org.au/services/pathology/medical-professionals" TargetMode="External"/><Relationship Id="rId157" Type="http://schemas.openxmlformats.org/officeDocument/2006/relationships/hyperlink" Target="https://immunisationhandbook.health.gov.au/recommendations/infants-born-to-mothers-who-are-hepatitis-b-surface-antigen-positive-are-recommended" TargetMode="External"/><Relationship Id="rId178" Type="http://schemas.openxmlformats.org/officeDocument/2006/relationships/hyperlink" Target="https://www.safesteps.org.au/" TargetMode="External"/><Relationship Id="rId61" Type="http://schemas.openxmlformats.org/officeDocument/2006/relationships/hyperlink" Target="https://www.betterhealth.vic.gov.au/health/healthyliving/folate-for-pregnant-women" TargetMode="External"/><Relationship Id="rId82" Type="http://schemas.openxmlformats.org/officeDocument/2006/relationships/hyperlink" Target="https://www.vcgs.org.au/tests/maternal-serum-screening" TargetMode="External"/><Relationship Id="rId152" Type="http://schemas.openxmlformats.org/officeDocument/2006/relationships/hyperlink" Target="https://www.beyondblue.org.au/" TargetMode="External"/><Relationship Id="rId173" Type="http://schemas.openxmlformats.org/officeDocument/2006/relationships/hyperlink" Target="https://www.panda.org.au/" TargetMode="External"/><Relationship Id="rId19" Type="http://schemas.openxmlformats.org/officeDocument/2006/relationships/hyperlink" Target="https://www.racgp.org.au/clinical-resources/clinical-guidelines/key-racgp-guidelines/view-all-racgp-guidelines/red-book/preventive-activities-prior-to-pregnancy" TargetMode="External"/><Relationship Id="rId14" Type="http://schemas.openxmlformats.org/officeDocument/2006/relationships/hyperlink" Target="mailto:maternity.bookings@easternhealth.org.au" TargetMode="External"/><Relationship Id="rId30" Type="http://schemas.openxmlformats.org/officeDocument/2006/relationships/hyperlink" Target="https://ranzcog.edu.au/news/ranzcog-reiterates-advice-on-covid-19-vaccination" TargetMode="External"/><Relationship Id="rId35" Type="http://schemas.openxmlformats.org/officeDocument/2006/relationships/hyperlink" Target="https://au.healthlink.net/au_registration/" TargetMode="External"/><Relationship Id="rId56" Type="http://schemas.openxmlformats.org/officeDocument/2006/relationships/hyperlink" Target="https://adf.org.au/insights/alcohol-and-pregnancy/" TargetMode="External"/><Relationship Id="rId77" Type="http://schemas.openxmlformats.org/officeDocument/2006/relationships/hyperlink" Target="https://ashm.org.au/wp-content/uploads/2022/10/ASHM-BBVs-STIs-in-Antenatal-Care-Resource-2022.pdf" TargetMode="External"/><Relationship Id="rId100" Type="http://schemas.openxmlformats.org/officeDocument/2006/relationships/hyperlink" Target="https://au.healthlink.net/au_registration/" TargetMode="External"/><Relationship Id="rId105" Type="http://schemas.openxmlformats.org/officeDocument/2006/relationships/image" Target="media/image6.png"/><Relationship Id="rId126" Type="http://schemas.openxmlformats.org/officeDocument/2006/relationships/hyperlink" Target="http://www.asum.com.au/wp-content/uploads/2015/09/NZMFM-SGA-Guideline-September-2013.pdf" TargetMode="External"/><Relationship Id="rId147" Type="http://schemas.openxmlformats.org/officeDocument/2006/relationships/hyperlink" Target="https://ranzcog.edu.au/RANZCOG_SITE/media/RANZCOG-MEDIA/Women%27s%20Health/Statement%20and%20guidelines/Clinical-Obstetrics/Use-of-Rh(D)-Isoimmunisation-(C-Obs-6).pdf?ext=.pdf" TargetMode="External"/><Relationship Id="rId168" Type="http://schemas.openxmlformats.org/officeDocument/2006/relationships/hyperlink" Target="https://www.fpv.org.au/" TargetMode="External"/><Relationship Id="rId8" Type="http://schemas.openxmlformats.org/officeDocument/2006/relationships/webSettings" Target="webSettings.xml"/><Relationship Id="rId51" Type="http://schemas.openxmlformats.org/officeDocument/2006/relationships/hyperlink" Target="https://www2.health.vic.gov.au/hospitals-and-health-services/patient-care/perinatal-reproductive/maternity-newborn-services/maternity-newborn-care" TargetMode="External"/><Relationship Id="rId72" Type="http://schemas.openxmlformats.org/officeDocument/2006/relationships/hyperlink" Target="https://www.pregnancybirthbaby.org.au/due-date-calculator" TargetMode="External"/><Relationship Id="rId93" Type="http://schemas.openxmlformats.org/officeDocument/2006/relationships/hyperlink" Target="https://www.health.gov.au/resources/pregnancy-care-guidelines/part-f-routine-maternal-health-tests" TargetMode="External"/><Relationship Id="rId98" Type="http://schemas.openxmlformats.org/officeDocument/2006/relationships/hyperlink" Target="https://ranzcoolpg.edu.au/RANZCOG_SITE/media/RANZCOG-MEDIA/Women%27s%20Health/Statement%20and%20guidelines/Clinical-Obstetrics/Maternal-Group-B-Streptococcus-in-pregnancy-screening-and-management-(C-Obs-19).pdf?ext=.pdf" TargetMode="External"/><Relationship Id="rId121" Type="http://schemas.openxmlformats.org/officeDocument/2006/relationships/hyperlink" Target="https://intergrowth21.tghn.org/symphysis-fundal-height/" TargetMode="External"/><Relationship Id="rId142" Type="http://schemas.openxmlformats.org/officeDocument/2006/relationships/hyperlink" Target="https://www.health.gov.au/resources/pregnancy-care-guidelines/part-f-routine-maternal-health-tests/hyperglycaemia" TargetMode="External"/><Relationship Id="rId163" Type="http://schemas.openxmlformats.org/officeDocument/2006/relationships/hyperlink" Target="mailto:email.vihsp@rch.org.au" TargetMode="Externa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health.gov.au/initiatives-and-programs/covid-19-vaccines/approved-vaccines/pfizer" TargetMode="External"/><Relationship Id="rId46" Type="http://schemas.openxmlformats.org/officeDocument/2006/relationships/hyperlink" Target="https://www.betterhealth.vic.gov.au/health/healthyliving/pregnancy-medication-drugs-and-alcohol" TargetMode="External"/><Relationship Id="rId67" Type="http://schemas.openxmlformats.org/officeDocument/2006/relationships/hyperlink" Target="https://ranzcog.edu.au/RANZCOG_SITE/media/RANZCOG-MEDIA/Women%27s%20Health/Statement%20and%20guidelines/Clinical-Obstetrics/Routine-antenatal-assessment-in-the-absence-of-pregnancy-complications-(C-Obs-3b)_2.pdf?ext=.pdf" TargetMode="External"/><Relationship Id="rId116" Type="http://schemas.openxmlformats.org/officeDocument/2006/relationships/hyperlink" Target="https://www.health.gov.au/resources/pregnancy-care-guidelines/part-j-clinical-assessments-in-late-pregnancy/fetal-presentation" TargetMode="External"/><Relationship Id="rId137" Type="http://schemas.openxmlformats.org/officeDocument/2006/relationships/hyperlink" Target="https://ranzcog.edu.au/RANZCOG_SITE/media/RANZCOG-MEDIA/Women%27s%20Health/Statement%20and%20guidelines/Clinical-Obstetrics/Use-of-Rh(D)-Isoimmunisation-(C-Obs-6).pdf?ext=.pdf" TargetMode="External"/><Relationship Id="rId158" Type="http://schemas.openxmlformats.org/officeDocument/2006/relationships/hyperlink" Target="https://www.rch.org.au/vihsp/general_information/" TargetMode="External"/><Relationship Id="rId20" Type="http://schemas.openxmlformats.org/officeDocument/2006/relationships/hyperlink" Target="https://www.racgp.org.au/clinical-resources/clinical-guidelines/key-racgp-guidelines/view-all-racgp-guidelines/red-book/preventive-activities-prior-to-pregnancy" TargetMode="External"/><Relationship Id="rId41" Type="http://schemas.openxmlformats.org/officeDocument/2006/relationships/hyperlink" Target="https://www.quit.org.au/articles/the-risks-of-smoking-while-pregnant/" TargetMode="External"/><Relationship Id="rId62" Type="http://schemas.openxmlformats.org/officeDocument/2006/relationships/hyperlink" Target="https://www.betterhealth.vic.gov.au/health/healthyliving/pregnancy-and-diet" TargetMode="External"/><Relationship Id="rId83" Type="http://schemas.openxmlformats.org/officeDocument/2006/relationships/hyperlink" Target="https://www.bettersafercare.vic.gov.au/resources/clinical-guidance/maternity-ehandbook/group-b-streptococcus-gbs-screening-and-management" TargetMode="External"/><Relationship Id="rId88" Type="http://schemas.openxmlformats.org/officeDocument/2006/relationships/hyperlink" Target="https://www.health.gov.au/resources/pregnancy-care-guidelines/part-f-routine-maternal-health-tests" TargetMode="External"/><Relationship Id="rId111" Type="http://schemas.openxmlformats.org/officeDocument/2006/relationships/hyperlink" Target="https://1-midwives.cdn.aspedia.net/sites/default/files/uploaded-content/field_f_content_file/with_covers_guidelines_3rd_edition_issue_2_final_2017.pdf" TargetMode="External"/><Relationship Id="rId132" Type="http://schemas.openxmlformats.org/officeDocument/2006/relationships/hyperlink" Target="https://www.bettersafercare.vic.gov.au/resources/clinical-guidance/maternity-ehandbook/antepartum-haemorrhage-assessment-and-management" TargetMode="External"/><Relationship Id="rId153" Type="http://schemas.openxmlformats.org/officeDocument/2006/relationships/hyperlink" Target="https://forwhenhelpline.org.au/" TargetMode="External"/><Relationship Id="rId174" Type="http://schemas.openxmlformats.org/officeDocument/2006/relationships/hyperlink" Target="https://healthyfamilies.beyondblue.org.au/pregnancy-and-new-parents" TargetMode="External"/><Relationship Id="rId179" Type="http://schemas.openxmlformats.org/officeDocument/2006/relationships/hyperlink" Target="file:///C:/Users/ke348/AppData/Local/Microsoft/Windows/INetCache/Content.Outlook/PSZP6LAY/The%20role%20of%20GPs%20includes%20all%20of%20the%20following%20to%20address%20family%20violence%20across%20the%20lifecycle%20(refer%20to" TargetMode="External"/><Relationship Id="rId15" Type="http://schemas.openxmlformats.org/officeDocument/2006/relationships/hyperlink" Target="mailto:FDS@easternhealth.org.au" TargetMode="External"/><Relationship Id="rId36" Type="http://schemas.openxmlformats.org/officeDocument/2006/relationships/hyperlink" Target="https://wiki.cancer.org.au/australia/Guidelines:Cervical_cancer/Screening" TargetMode="External"/><Relationship Id="rId57" Type="http://schemas.openxmlformats.org/officeDocument/2006/relationships/hyperlink" Target="https://immunisationhandbook.health.gov.au/vaccination-for-special-risk-groups/vaccination-for-women-who-are-planning-pregnancy-pregnant-or" TargetMode="External"/><Relationship Id="rId106" Type="http://schemas.openxmlformats.org/officeDocument/2006/relationships/image" Target="media/image7.png"/><Relationship Id="rId127" Type="http://schemas.openxmlformats.org/officeDocument/2006/relationships/hyperlink" Target="https://www.rcog.org.uk/globalassets/documents/guidelines/gtg_31.pdf" TargetMode="External"/><Relationship Id="rId10" Type="http://schemas.openxmlformats.org/officeDocument/2006/relationships/endnotes" Target="endnotes.xml"/><Relationship Id="rId31" Type="http://schemas.openxmlformats.org/officeDocument/2006/relationships/hyperlink" Target="https://www.science.org.au/curious/people-medicine/pregnancies-periods-and-covid-19-vaccines-what-you-need-know" TargetMode="External"/><Relationship Id="rId52" Type="http://schemas.openxmlformats.org/officeDocument/2006/relationships/hyperlink" Target="https://www.easternhealth.org.au/images/services/midwifery_group_practice.pdf" TargetMode="External"/><Relationship Id="rId73" Type="http://schemas.openxmlformats.org/officeDocument/2006/relationships/hyperlink" Target="https://www.easternhealth.org.au/site/item/65-outpatients" TargetMode="External"/><Relationship Id="rId78" Type="http://schemas.openxmlformats.org/officeDocument/2006/relationships/hyperlink" Target="https://wiki.cancer.org.au/australia/Clinical_question:Screening_in_pregnancy" TargetMode="External"/><Relationship Id="rId94" Type="http://schemas.openxmlformats.org/officeDocument/2006/relationships/hyperlink" Target="https://ranzcog.edu.au/RANZCOG_SITE/media/RANZCOGMEDIA/Women%27s%20Health/Statement%20and%20guidelines/Clinical-Obstetrics/Prenatal-screening_1.pdf?ext=.pdf" TargetMode="External"/><Relationship Id="rId99" Type="http://schemas.openxmlformats.org/officeDocument/2006/relationships/hyperlink" Target="https://www.vcgs.org.au/tests" TargetMode="External"/><Relationship Id="rId101" Type="http://schemas.openxmlformats.org/officeDocument/2006/relationships/hyperlink" Target="https://www.stillbirthcre.org.au/safer-baby-bundle/" TargetMode="External"/><Relationship Id="rId122" Type="http://schemas.openxmlformats.org/officeDocument/2006/relationships/hyperlink" Target="https://www.ncbi.nlm.nih.gov/pubmed/22260759" TargetMode="External"/><Relationship Id="rId143" Type="http://schemas.openxmlformats.org/officeDocument/2006/relationships/hyperlink" Target="https://www.diabetesaustralia.com.au/gestational-diabetes" TargetMode="External"/><Relationship Id="rId148" Type="http://schemas.openxmlformats.org/officeDocument/2006/relationships/hyperlink" Target="https://thewomens.r.worldssl.net/images/uploads/downloadable-records/clinical-guidelines/thalassaemia-and-abnormal-haemoglobins-in-pregnancy-guideline_280720.pdf" TargetMode="External"/><Relationship Id="rId164" Type="http://schemas.openxmlformats.org/officeDocument/2006/relationships/hyperlink" Target="https://www.rch.org.au/vihsp/contact_us/" TargetMode="External"/><Relationship Id="rId169" Type="http://schemas.openxmlformats.org/officeDocument/2006/relationships/hyperlink" Target="https://www.panda.org.au/"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1800respect.org.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astern Health">
      <a:dk1>
        <a:srgbClr val="002F86"/>
      </a:dk1>
      <a:lt1>
        <a:srgbClr val="FFFFFF"/>
      </a:lt1>
      <a:dk2>
        <a:srgbClr val="FFC845"/>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E1408746C09B4991E3029A4B0C3D66" ma:contentTypeVersion="1" ma:contentTypeDescription="Create a new document." ma:contentTypeScope="" ma:versionID="b2af114a9cf36c4f260aac787f8da4e8">
  <xsd:schema xmlns:xsd="http://www.w3.org/2001/XMLSchema" xmlns:xs="http://www.w3.org/2001/XMLSchema" xmlns:p="http://schemas.microsoft.com/office/2006/metadata/properties" xmlns:ns2="http://schemas.microsoft.com/sharepoint/v4" targetNamespace="http://schemas.microsoft.com/office/2006/metadata/properties" ma:root="true" ma:fieldsID="c79c8594d4fa4c9fd200c91a62336472"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A37ED-2016-49E8-BA97-9955875CA84A}">
  <ds:schemaRefs>
    <ds:schemaRef ds:uri="http://schemas.microsoft.com/sharepoint/v3/contenttype/forms"/>
  </ds:schemaRefs>
</ds:datastoreItem>
</file>

<file path=customXml/itemProps2.xml><?xml version="1.0" encoding="utf-8"?>
<ds:datastoreItem xmlns:ds="http://schemas.openxmlformats.org/officeDocument/2006/customXml" ds:itemID="{863FEE6D-BD14-4D8A-8A28-A2FDCE34AFF7}">
  <ds:schemaRefs>
    <ds:schemaRef ds:uri="http://schemas.microsoft.com/sharepoint/v4"/>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11238CC-3CD9-41B5-9F65-DA8CABCB3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98B62-32BE-40F6-A670-BD5041452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74</Pages>
  <Words>26454</Words>
  <Characters>150794</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176895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Gidas, Elle</dc:creator>
  <cp:lastModifiedBy>Evans, Kathryn</cp:lastModifiedBy>
  <cp:revision>3</cp:revision>
  <cp:lastPrinted>2021-10-27T01:39:00Z</cp:lastPrinted>
  <dcterms:created xsi:type="dcterms:W3CDTF">2022-11-29T00:53:00Z</dcterms:created>
  <dcterms:modified xsi:type="dcterms:W3CDTF">2022-12-05T01:40:00Z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0x0101001BE1408746C09B4991E3029A4B0C3D66</vt:lpwstr>
  </property>
</Properties>
</file>