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2AC" w:rsidRPr="00861B78" w:rsidRDefault="003F07FF" w:rsidP="00234BDC">
      <w:pPr>
        <w:pStyle w:val="DocMainHeadingLevel1EASH"/>
        <w:ind w:left="698" w:firstLine="720"/>
        <w:rPr>
          <w:sz w:val="32"/>
        </w:rPr>
      </w:pPr>
      <w:r w:rsidRPr="00861B78">
        <w:rPr>
          <w:sz w:val="32"/>
        </w:rPr>
        <w:t>COVID Early Treatment</w:t>
      </w:r>
      <w:r w:rsidR="00356026" w:rsidRPr="00861B78">
        <w:rPr>
          <w:sz w:val="32"/>
        </w:rPr>
        <w:t xml:space="preserve"> Clinic</w:t>
      </w:r>
      <w:r w:rsidR="00B74860" w:rsidRPr="00861B78">
        <w:rPr>
          <w:sz w:val="32"/>
        </w:rPr>
        <w:t xml:space="preserve"> – Information for </w:t>
      </w:r>
      <w:r w:rsidR="00861B78" w:rsidRPr="00861B78">
        <w:rPr>
          <w:sz w:val="32"/>
        </w:rPr>
        <w:t>Doctor</w:t>
      </w:r>
      <w:r w:rsidR="003F10BE" w:rsidRPr="00861B78">
        <w:rPr>
          <w:sz w:val="32"/>
        </w:rPr>
        <w:t>s</w:t>
      </w:r>
    </w:p>
    <w:p w:rsidR="00BC18BC" w:rsidRDefault="00356026" w:rsidP="006A22AC">
      <w:pPr>
        <w:pStyle w:val="DocMainHeadingLevel2EASH"/>
      </w:pPr>
      <w:r>
        <w:t>Maroondah Hospital</w:t>
      </w:r>
    </w:p>
    <w:p w:rsidR="003F07FF" w:rsidRDefault="003F07FF" w:rsidP="002F7A8D">
      <w:pPr>
        <w:pStyle w:val="SubheadingLevel1EASH"/>
        <w:rPr>
          <w:b w:val="0"/>
          <w:sz w:val="20"/>
        </w:rPr>
      </w:pPr>
      <w:r>
        <w:rPr>
          <w:b w:val="0"/>
          <w:sz w:val="20"/>
        </w:rPr>
        <w:t>Eastern Health COVID Early Treatment Clinic</w:t>
      </w:r>
      <w:r w:rsidR="00FD53AE">
        <w:rPr>
          <w:b w:val="0"/>
          <w:sz w:val="20"/>
        </w:rPr>
        <w:t xml:space="preserve"> has the capacity to offer </w:t>
      </w:r>
      <w:proofErr w:type="spellStart"/>
      <w:r w:rsidR="00AB1279">
        <w:rPr>
          <w:b w:val="0"/>
          <w:sz w:val="20"/>
        </w:rPr>
        <w:t>p</w:t>
      </w:r>
      <w:r>
        <w:rPr>
          <w:b w:val="0"/>
          <w:sz w:val="20"/>
        </w:rPr>
        <w:t>axlovid</w:t>
      </w:r>
      <w:proofErr w:type="spellEnd"/>
      <w:r>
        <w:rPr>
          <w:b w:val="0"/>
          <w:sz w:val="20"/>
        </w:rPr>
        <w:t xml:space="preserve"> </w:t>
      </w:r>
      <w:r w:rsidR="00AB1279">
        <w:rPr>
          <w:b w:val="0"/>
          <w:sz w:val="20"/>
        </w:rPr>
        <w:t xml:space="preserve">and </w:t>
      </w:r>
      <w:proofErr w:type="spellStart"/>
      <w:r w:rsidR="00AB1279">
        <w:rPr>
          <w:b w:val="0"/>
          <w:sz w:val="20"/>
        </w:rPr>
        <w:t>m</w:t>
      </w:r>
      <w:r w:rsidR="00FD53AE">
        <w:rPr>
          <w:b w:val="0"/>
          <w:sz w:val="20"/>
        </w:rPr>
        <w:t>olnupiravir</w:t>
      </w:r>
      <w:proofErr w:type="spellEnd"/>
      <w:r w:rsidR="00FD53AE">
        <w:rPr>
          <w:b w:val="0"/>
          <w:sz w:val="20"/>
        </w:rPr>
        <w:t xml:space="preserve"> </w:t>
      </w:r>
      <w:r>
        <w:rPr>
          <w:b w:val="0"/>
          <w:sz w:val="20"/>
        </w:rPr>
        <w:t>to eligible patients.</w:t>
      </w:r>
    </w:p>
    <w:p w:rsidR="006A22AC" w:rsidRDefault="006A22AC" w:rsidP="006A22AC">
      <w:pPr>
        <w:pStyle w:val="SubheadingLevel1EASH"/>
      </w:pPr>
      <w:r>
        <w:t>Who is eligible?</w:t>
      </w:r>
    </w:p>
    <w:p w:rsidR="004D16EA" w:rsidRPr="004D16EA" w:rsidRDefault="006A22AC" w:rsidP="00861B78">
      <w:pPr>
        <w:pStyle w:val="BodytextEASH"/>
      </w:pPr>
      <w:proofErr w:type="spellStart"/>
      <w:r>
        <w:t>Paxl</w:t>
      </w:r>
      <w:r w:rsidR="00AB1279">
        <w:t>ovid</w:t>
      </w:r>
      <w:proofErr w:type="spellEnd"/>
      <w:r w:rsidR="00AB1279">
        <w:t xml:space="preserve"> and </w:t>
      </w:r>
      <w:proofErr w:type="spellStart"/>
      <w:r w:rsidR="00AB1279">
        <w:t>m</w:t>
      </w:r>
      <w:r w:rsidR="00CF53DF">
        <w:t>olnupiravir</w:t>
      </w:r>
      <w:proofErr w:type="spellEnd"/>
      <w:r>
        <w:t xml:space="preserve"> are all n</w:t>
      </w:r>
      <w:r w:rsidRPr="00356026">
        <w:t>ew medication</w:t>
      </w:r>
      <w:r>
        <w:t xml:space="preserve"> </w:t>
      </w:r>
      <w:r w:rsidRPr="00356026">
        <w:t xml:space="preserve">shown to reduce disease severity and </w:t>
      </w:r>
      <w:proofErr w:type="spellStart"/>
      <w:r w:rsidRPr="00356026">
        <w:t>hospitalisation</w:t>
      </w:r>
      <w:proofErr w:type="spellEnd"/>
      <w:r w:rsidRPr="00356026">
        <w:t xml:space="preserve"> rates when administered in the early stages of COVID-</w:t>
      </w:r>
      <w:r w:rsidR="00CF53DF">
        <w:t>19</w:t>
      </w:r>
      <w:r w:rsidRPr="00356026">
        <w:t xml:space="preserve">. </w:t>
      </w:r>
      <w:r>
        <w:t>Please do not s</w:t>
      </w:r>
      <w:r w:rsidR="00AB1279">
        <w:t xml:space="preserve">tart patients on </w:t>
      </w:r>
      <w:proofErr w:type="spellStart"/>
      <w:r w:rsidR="00AB1279">
        <w:t>m</w:t>
      </w:r>
      <w:r w:rsidR="008251ED">
        <w:t>olnupiravir</w:t>
      </w:r>
      <w:proofErr w:type="spellEnd"/>
      <w:r w:rsidR="008251ED">
        <w:t xml:space="preserve"> prior to</w:t>
      </w:r>
      <w:r>
        <w:t xml:space="preserve"> referring to COVID Early Treatment clinic. </w:t>
      </w:r>
      <w:r w:rsidR="008251ED">
        <w:t xml:space="preserve">The COVID early treatment doctor will assess patients and, in collaboration with pharmacy, will decide what </w:t>
      </w:r>
      <w:r w:rsidR="009B6C7A">
        <w:t>the most appropriate treatment option is</w:t>
      </w:r>
      <w:r w:rsidR="00682017">
        <w:t xml:space="preserve">. </w:t>
      </w:r>
      <w:r w:rsidR="00861B78">
        <w:t xml:space="preserve">Be aware that we will </w:t>
      </w:r>
      <w:proofErr w:type="spellStart"/>
      <w:r w:rsidR="00861B78">
        <w:t>priortise</w:t>
      </w:r>
      <w:proofErr w:type="spellEnd"/>
      <w:r w:rsidR="00861B78">
        <w:t xml:space="preserve"> treatment to patients as per the Victorian department of health </w:t>
      </w:r>
      <w:proofErr w:type="spellStart"/>
      <w:r w:rsidR="00861B78">
        <w:t>prioritisation</w:t>
      </w:r>
      <w:proofErr w:type="spellEnd"/>
      <w:r w:rsidR="00861B78">
        <w:t xml:space="preserve"> rubrics which is found </w:t>
      </w:r>
      <w:hyperlink r:id="rId7" w:history="1">
        <w:r w:rsidR="00861B78" w:rsidRPr="00861B78">
          <w:rPr>
            <w:rStyle w:val="Hyperlink"/>
          </w:rPr>
          <w:t>here</w:t>
        </w:r>
      </w:hyperlink>
      <w:r w:rsidR="00AB1279">
        <w:rPr>
          <w:rStyle w:val="Hyperlink"/>
        </w:rPr>
        <w:t xml:space="preserve">. </w:t>
      </w:r>
      <w:bookmarkStart w:id="0" w:name="_GoBack"/>
      <w:bookmarkEnd w:id="0"/>
    </w:p>
    <w:p w:rsidR="00534E25" w:rsidRPr="00FD53AE" w:rsidRDefault="00045C03" w:rsidP="000D486E">
      <w:pPr>
        <w:pStyle w:val="BodytextEASH"/>
        <w:ind w:left="698" w:firstLine="720"/>
        <w:rPr>
          <w:b/>
          <w:bCs/>
          <w:sz w:val="22"/>
        </w:rPr>
      </w:pPr>
      <w:r>
        <w:rPr>
          <w:b/>
          <w:bCs/>
          <w:sz w:val="22"/>
        </w:rPr>
        <w:t xml:space="preserve">COVID </w:t>
      </w:r>
      <w:r w:rsidR="00140B24" w:rsidRPr="00534E25">
        <w:rPr>
          <w:b/>
          <w:bCs/>
          <w:sz w:val="22"/>
        </w:rPr>
        <w:t>Early treatment medication i</w:t>
      </w:r>
      <w:r w:rsidR="002F7A8D" w:rsidRPr="00534E25">
        <w:rPr>
          <w:b/>
          <w:bCs/>
          <w:sz w:val="22"/>
        </w:rPr>
        <w:t>nclusion Criteria</w:t>
      </w:r>
    </w:p>
    <w:p w:rsidR="002F7A8D" w:rsidRDefault="002F7A8D" w:rsidP="002F7A8D">
      <w:pPr>
        <w:pStyle w:val="BodytextEASH"/>
      </w:pPr>
      <w:r w:rsidRPr="00356026">
        <w:t>MUST meet ALL of the following criteria:</w:t>
      </w:r>
    </w:p>
    <w:p w:rsidR="002F7A8D" w:rsidRDefault="002F7A8D" w:rsidP="00B46F4A">
      <w:pPr>
        <w:pStyle w:val="BodytextEASH"/>
        <w:numPr>
          <w:ilvl w:val="0"/>
          <w:numId w:val="3"/>
        </w:numPr>
      </w:pPr>
      <w:r w:rsidRPr="00356026">
        <w:t>Confirmed SARS-CoV2</w:t>
      </w:r>
      <w:r w:rsidR="00877FD5">
        <w:t xml:space="preserve"> (RAT or PCR)</w:t>
      </w:r>
    </w:p>
    <w:p w:rsidR="002F7A8D" w:rsidRDefault="00B46F4A" w:rsidP="00B46F4A">
      <w:pPr>
        <w:pStyle w:val="BodytextEASH"/>
        <w:numPr>
          <w:ilvl w:val="0"/>
          <w:numId w:val="3"/>
        </w:numPr>
      </w:pPr>
      <w:r>
        <w:t>Day 0-5 from symptoms onset (if asymptomatic, day of test is day 0)</w:t>
      </w:r>
    </w:p>
    <w:p w:rsidR="000D5F52" w:rsidRPr="00B46F4A" w:rsidRDefault="000D5F52" w:rsidP="000D5F52">
      <w:pPr>
        <w:pStyle w:val="BodytextEASH"/>
        <w:numPr>
          <w:ilvl w:val="0"/>
          <w:numId w:val="3"/>
        </w:numPr>
      </w:pPr>
      <w:r>
        <w:t>Not requiring supplemental oxygen</w:t>
      </w:r>
    </w:p>
    <w:p w:rsidR="00B46F4A" w:rsidRPr="00CD532F" w:rsidRDefault="002F7A8D" w:rsidP="00B46F4A">
      <w:pPr>
        <w:pStyle w:val="BodytextEASH"/>
      </w:pPr>
      <w:r w:rsidRPr="00CD532F">
        <w:t>AND either one of:</w:t>
      </w:r>
    </w:p>
    <w:p w:rsidR="00B46F4A" w:rsidRPr="00CD532F" w:rsidRDefault="00B46F4A" w:rsidP="00B46F4A">
      <w:pPr>
        <w:pStyle w:val="BodytextEASH"/>
      </w:pPr>
      <w:r w:rsidRPr="00CD532F">
        <w:t xml:space="preserve">       4a.  </w:t>
      </w:r>
      <w:r w:rsidR="002F7A8D" w:rsidRPr="00CD532F">
        <w:t>Immunosuppressed</w:t>
      </w:r>
      <w:r w:rsidR="00807FCE">
        <w:t xml:space="preserve"> age ≥12</w:t>
      </w:r>
      <w:r w:rsidR="002F7A8D" w:rsidRPr="00CD532F">
        <w:t xml:space="preserve"> (irrespective of comorbidities) </w:t>
      </w:r>
    </w:p>
    <w:p w:rsidR="00B46F4A" w:rsidRPr="00CD532F" w:rsidRDefault="002F7A8D" w:rsidP="00B46F4A">
      <w:pPr>
        <w:pStyle w:val="BodytextEASH"/>
        <w:ind w:left="1440" w:firstLine="720"/>
        <w:rPr>
          <w:bCs/>
          <w:u w:val="single"/>
        </w:rPr>
      </w:pPr>
      <w:r w:rsidRPr="00CD532F">
        <w:rPr>
          <w:bCs/>
          <w:u w:val="single"/>
        </w:rPr>
        <w:t>OR</w:t>
      </w:r>
    </w:p>
    <w:p w:rsidR="00B46F4A" w:rsidRPr="00CD532F" w:rsidRDefault="00B46F4A" w:rsidP="00B46F4A">
      <w:pPr>
        <w:pStyle w:val="BodytextEASH"/>
        <w:ind w:left="1440"/>
      </w:pPr>
      <w:r w:rsidRPr="00CD532F">
        <w:t xml:space="preserve">      4b.  One of the below:</w:t>
      </w:r>
    </w:p>
    <w:p w:rsidR="00B46F4A" w:rsidRPr="00CD532F" w:rsidRDefault="00B46F4A" w:rsidP="001F189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Pregnant (2nd or </w:t>
      </w:r>
      <w:r w:rsidR="00234BDC">
        <w:rPr>
          <w:rFonts w:ascii="Arial" w:hAnsi="Arial" w:cs="Arial"/>
          <w:color w:val="002F86" w:themeColor="text1"/>
          <w:sz w:val="20"/>
          <w:szCs w:val="20"/>
          <w:lang w:val="en-US"/>
        </w:rPr>
        <w:t>3rd trimester) AND unvaccinated</w:t>
      </w:r>
      <w:r w:rsidR="001F1891">
        <w:rPr>
          <w:rFonts w:ascii="Arial" w:hAnsi="Arial" w:cs="Arial"/>
          <w:color w:val="002F86" w:themeColor="text1"/>
          <w:sz w:val="20"/>
          <w:szCs w:val="20"/>
          <w:lang w:val="en-US"/>
        </w:rPr>
        <w:t>/Partially vaccinated*</w:t>
      </w:r>
    </w:p>
    <w:p w:rsidR="00B46F4A" w:rsidRPr="00CD532F" w:rsidRDefault="00B46F4A" w:rsidP="001F1891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AT</w:t>
      </w:r>
      <w:r w:rsidR="00AE52B9">
        <w:rPr>
          <w:rFonts w:ascii="Arial" w:hAnsi="Arial" w:cs="Arial"/>
          <w:color w:val="002F86" w:themeColor="text1"/>
          <w:sz w:val="20"/>
          <w:szCs w:val="20"/>
          <w:lang w:val="en-US"/>
        </w:rPr>
        <w:t>SI AND age ≥50</w:t>
      </w:r>
      <w:r w:rsidR="00234BDC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AND unvaccinated</w:t>
      </w:r>
      <w:r w:rsidR="001F1891">
        <w:rPr>
          <w:rFonts w:ascii="Arial" w:hAnsi="Arial" w:cs="Arial"/>
          <w:color w:val="002F86" w:themeColor="text1"/>
          <w:sz w:val="20"/>
          <w:szCs w:val="20"/>
          <w:lang w:val="en-US"/>
        </w:rPr>
        <w:t>/Partially vaccinated*</w:t>
      </w:r>
    </w:p>
    <w:p w:rsidR="00B46F4A" w:rsidRPr="00CD532F" w:rsidRDefault="00AE52B9" w:rsidP="00B46F4A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>
        <w:rPr>
          <w:rFonts w:ascii="Arial" w:hAnsi="Arial" w:cs="Arial"/>
          <w:color w:val="002F86" w:themeColor="text1"/>
          <w:sz w:val="20"/>
          <w:szCs w:val="20"/>
          <w:lang w:val="en-US"/>
        </w:rPr>
        <w:t>Age ≥65 regardless of vaccination status or comorbidities</w:t>
      </w:r>
    </w:p>
    <w:p w:rsidR="00807FCE" w:rsidRDefault="00B46F4A" w:rsidP="00D06738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Age </w:t>
      </w:r>
      <w:r w:rsidR="00234BDC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12 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-</w:t>
      </w:r>
      <w:r w:rsidR="00234BDC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</w:t>
      </w:r>
      <w:r w:rsidR="00807FCE">
        <w:rPr>
          <w:rFonts w:ascii="Arial" w:hAnsi="Arial" w:cs="Arial"/>
          <w:color w:val="002F86" w:themeColor="text1"/>
          <w:sz w:val="20"/>
          <w:szCs w:val="20"/>
          <w:lang w:val="en-US"/>
        </w:rPr>
        <w:t>64</w:t>
      </w:r>
      <w:r w:rsidR="00234BDC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AND un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vaccinated</w:t>
      </w:r>
      <w:r w:rsidR="00D06738">
        <w:rPr>
          <w:rFonts w:ascii="Arial" w:hAnsi="Arial" w:cs="Arial"/>
          <w:color w:val="002F86" w:themeColor="text1"/>
          <w:sz w:val="20"/>
          <w:szCs w:val="20"/>
          <w:lang w:val="en-US"/>
        </w:rPr>
        <w:t>/partially vaccinated*</w:t>
      </w:r>
      <w:r w:rsidR="00807FCE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AND high risk comorbidity</w:t>
      </w:r>
      <w:r w:rsidR="00CD532F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from below</w:t>
      </w:r>
    </w:p>
    <w:p w:rsidR="00807FCE" w:rsidRPr="00AE52B9" w:rsidRDefault="00AE52B9" w:rsidP="00807FCE">
      <w:pPr>
        <w:pStyle w:val="ListParagraph"/>
        <w:numPr>
          <w:ilvl w:val="0"/>
          <w:numId w:val="4"/>
        </w:numPr>
        <w:spacing w:after="200" w:line="276" w:lineRule="auto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Age </w:t>
      </w:r>
      <w:r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12 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-</w:t>
      </w:r>
      <w:r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64 AND up-to-date vaccination 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AND </w:t>
      </w:r>
      <w:r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TWO </w:t>
      </w:r>
      <w:r w:rsidRPr="00CD532F">
        <w:rPr>
          <w:rFonts w:ascii="Arial" w:hAnsi="Arial" w:cs="Arial"/>
          <w:color w:val="002F86" w:themeColor="text1"/>
          <w:sz w:val="20"/>
          <w:szCs w:val="20"/>
          <w:lang w:val="en-US"/>
        </w:rPr>
        <w:t>high risk comorbidity</w:t>
      </w:r>
      <w:r>
        <w:rPr>
          <w:rFonts w:ascii="Arial" w:hAnsi="Arial" w:cs="Arial"/>
          <w:color w:val="002F86" w:themeColor="text1"/>
          <w:sz w:val="20"/>
          <w:szCs w:val="20"/>
          <w:lang w:val="en-US"/>
        </w:rPr>
        <w:t xml:space="preserve"> from below</w:t>
      </w:r>
    </w:p>
    <w:p w:rsidR="001248B5" w:rsidRPr="001F1891" w:rsidRDefault="001F1891" w:rsidP="001248B5">
      <w:pPr>
        <w:spacing w:after="200" w:line="276" w:lineRule="auto"/>
        <w:ind w:left="1440"/>
        <w:contextualSpacing/>
        <w:rPr>
          <w:rFonts w:ascii="Arial" w:hAnsi="Arial" w:cs="Arial"/>
          <w:color w:val="002F86" w:themeColor="text1"/>
          <w:sz w:val="20"/>
          <w:szCs w:val="20"/>
          <w:lang w:val="en-US"/>
        </w:rPr>
      </w:pPr>
      <w:r w:rsidRPr="001F1891">
        <w:rPr>
          <w:rFonts w:ascii="Arial" w:hAnsi="Arial" w:cs="Arial"/>
          <w:color w:val="002F86" w:themeColor="text1"/>
          <w:sz w:val="20"/>
          <w:szCs w:val="20"/>
          <w:lang w:val="en-US"/>
        </w:rPr>
        <w:t>*Partial vaccinated definition – single dose or two doses &lt;14 days or &gt;4 months ago</w:t>
      </w:r>
    </w:p>
    <w:p w:rsidR="001F1891" w:rsidRDefault="001F1891" w:rsidP="001248B5">
      <w:pPr>
        <w:spacing w:after="200" w:line="276" w:lineRule="auto"/>
        <w:ind w:left="144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AB1279" w:rsidRDefault="00AB1279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</w:p>
    <w:p w:rsidR="00807FCE" w:rsidRPr="001248B5" w:rsidRDefault="00807FCE" w:rsidP="000D486E">
      <w:pPr>
        <w:spacing w:after="200" w:line="276" w:lineRule="auto"/>
        <w:ind w:left="720" w:firstLine="720"/>
        <w:contextualSpacing/>
        <w:rPr>
          <w:rFonts w:ascii="Arial" w:hAnsi="Arial" w:cs="Arial"/>
          <w:color w:val="002F86" w:themeColor="text1"/>
          <w:szCs w:val="20"/>
          <w:lang w:val="en-US"/>
        </w:rPr>
      </w:pPr>
      <w:r w:rsidRPr="00807FCE">
        <w:rPr>
          <w:rFonts w:ascii="Arial" w:hAnsi="Arial" w:cs="Arial"/>
          <w:color w:val="002F86" w:themeColor="text1"/>
          <w:szCs w:val="20"/>
          <w:lang w:val="en-US"/>
        </w:rPr>
        <w:lastRenderedPageBreak/>
        <w:t>High Risk comorbidities</w:t>
      </w:r>
    </w:p>
    <w:tbl>
      <w:tblPr>
        <w:tblStyle w:val="TableGrid"/>
        <w:tblW w:w="0" w:type="auto"/>
        <w:tblInd w:w="1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119"/>
        <w:gridCol w:w="2637"/>
      </w:tblGrid>
      <w:tr w:rsidR="00CD532F" w:rsidRPr="00CD532F" w:rsidTr="001248B5">
        <w:trPr>
          <w:trHeight w:val="2571"/>
        </w:trPr>
        <w:tc>
          <w:tcPr>
            <w:tcW w:w="3260" w:type="dxa"/>
          </w:tcPr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Chronic lung condition (e.g. pulmonary fibrosis, cystic fibrosis)</w:t>
            </w:r>
          </w:p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Chronic heart condition (e.g. congenital heart disease, congestive cardiac failure [NYHA≥2])</w:t>
            </w:r>
          </w:p>
          <w:p w:rsidR="00CD532F" w:rsidRPr="001248B5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Chronic neuromuscular condition (e.</w:t>
            </w:r>
            <w:r w:rsidR="001B7E31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g. cerebral palsy, motor neuron</w:t>
            </w: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 disease)</w:t>
            </w:r>
          </w:p>
        </w:tc>
        <w:tc>
          <w:tcPr>
            <w:tcW w:w="3119" w:type="dxa"/>
          </w:tcPr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Chronic liver condition (e.g. cirrhosis Childs Pugh C)</w:t>
            </w:r>
          </w:p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Chronic kidney disease (e.g. GFR&lt;60ml/min)</w:t>
            </w:r>
          </w:p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Complex </w:t>
            </w:r>
            <w:proofErr w:type="spellStart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haematologic</w:t>
            </w:r>
            <w:proofErr w:type="spellEnd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 condition (e.g. Sickle cell disease, aplastic </w:t>
            </w:r>
            <w:proofErr w:type="spellStart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anaemia</w:t>
            </w:r>
            <w:proofErr w:type="spellEnd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)</w:t>
            </w:r>
          </w:p>
          <w:p w:rsidR="00CD532F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Obesity BMI&gt;30 for adults (or &gt;95th centile for </w:t>
            </w:r>
            <w:proofErr w:type="spellStart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paediatrics</w:t>
            </w:r>
            <w:proofErr w:type="spellEnd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)</w:t>
            </w:r>
          </w:p>
        </w:tc>
        <w:tc>
          <w:tcPr>
            <w:tcW w:w="2637" w:type="dxa"/>
          </w:tcPr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Asthma requiring </w:t>
            </w:r>
            <w:proofErr w:type="spellStart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hospitalisation</w:t>
            </w:r>
            <w:proofErr w:type="spellEnd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 or oral corticosteroids in the last 12 months</w:t>
            </w:r>
          </w:p>
          <w:p w:rsidR="00807FCE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Diabetes mellitus (on medication)</w:t>
            </w:r>
          </w:p>
          <w:p w:rsidR="00CD532F" w:rsidRPr="00807FCE" w:rsidRDefault="00807FCE" w:rsidP="001248B5">
            <w:pPr>
              <w:pStyle w:val="ListParagraph"/>
              <w:numPr>
                <w:ilvl w:val="0"/>
                <w:numId w:val="8"/>
              </w:numPr>
              <w:spacing w:after="240"/>
              <w:contextualSpacing/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</w:pPr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Intellectual disability of any kind Complex </w:t>
            </w:r>
            <w:proofErr w:type="spellStart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>paediatric</w:t>
            </w:r>
            <w:proofErr w:type="spellEnd"/>
            <w:r w:rsidRPr="00807FCE">
              <w:rPr>
                <w:rFonts w:ascii="Arial" w:hAnsi="Arial" w:cs="Arial"/>
                <w:color w:val="002F86" w:themeColor="text1"/>
                <w:sz w:val="18"/>
                <w:szCs w:val="20"/>
                <w:lang w:val="en-US"/>
              </w:rPr>
              <w:t xml:space="preserve"> chronic conditions</w:t>
            </w:r>
          </w:p>
        </w:tc>
      </w:tr>
    </w:tbl>
    <w:p w:rsidR="00FD53AE" w:rsidRDefault="00FD53AE" w:rsidP="001248B5">
      <w:pPr>
        <w:pStyle w:val="BodytextEASH"/>
        <w:ind w:left="698" w:firstLine="720"/>
      </w:pPr>
    </w:p>
    <w:p w:rsidR="00FD53AE" w:rsidRPr="00534E25" w:rsidRDefault="00FD53AE" w:rsidP="00FD53AE">
      <w:pPr>
        <w:pStyle w:val="BodytextEASH"/>
        <w:ind w:left="698" w:firstLine="720"/>
        <w:rPr>
          <w:b/>
          <w:sz w:val="24"/>
        </w:rPr>
      </w:pPr>
      <w:r>
        <w:rPr>
          <w:b/>
          <w:sz w:val="24"/>
        </w:rPr>
        <w:t>How to refer?</w:t>
      </w:r>
    </w:p>
    <w:p w:rsidR="00FD53AE" w:rsidRPr="008251ED" w:rsidRDefault="00FD53AE" w:rsidP="00303EE6">
      <w:pPr>
        <w:pStyle w:val="BodytextEASH"/>
      </w:pPr>
      <w:r>
        <w:t xml:space="preserve">In order </w:t>
      </w:r>
      <w:r w:rsidRPr="008251ED">
        <w:t>to offer these treatments in a timely manner, GPs can refer to the HITH COVID unit directly.</w:t>
      </w:r>
    </w:p>
    <w:p w:rsidR="00FD53AE" w:rsidRPr="00356026" w:rsidRDefault="00FD53AE" w:rsidP="00303EE6">
      <w:pPr>
        <w:pStyle w:val="BodytextEASH"/>
      </w:pPr>
      <w:r>
        <w:t>If you have a patient who may be eligible for</w:t>
      </w:r>
      <w:r w:rsidR="009B6C7A">
        <w:t xml:space="preserve"> </w:t>
      </w:r>
      <w:r w:rsidR="00AB1279">
        <w:t xml:space="preserve">early treatment </w:t>
      </w:r>
      <w:r>
        <w:t xml:space="preserve">and has tested positive for COVID-19, please email the HITH COVID Early Treatment Clinic referral form to </w:t>
      </w:r>
      <w:hyperlink r:id="rId8" w:history="1">
        <w:r w:rsidR="007F2187" w:rsidRPr="000E2BE6">
          <w:rPr>
            <w:rStyle w:val="Hyperlink"/>
          </w:rPr>
          <w:t>covidearlytreatmentclinic@easternhealth.org.au</w:t>
        </w:r>
      </w:hyperlink>
      <w:r w:rsidR="009B6C7A">
        <w:t>. For urgent referrals</w:t>
      </w:r>
      <w:r>
        <w:t xml:space="preserve"> please call the COVID early treatment clinic medical lead on 0402 262 640. We request that you do not ask patients to call the HITH COVID unit directly.</w:t>
      </w:r>
    </w:p>
    <w:p w:rsidR="000D486E" w:rsidRDefault="000D486E" w:rsidP="00CD532F">
      <w:pPr>
        <w:pStyle w:val="BodytextEASH"/>
        <w:ind w:left="698" w:firstLine="720"/>
      </w:pPr>
    </w:p>
    <w:p w:rsidR="004D16EA" w:rsidRDefault="004D16EA" w:rsidP="00CD532F">
      <w:pPr>
        <w:pStyle w:val="BodytextEASH"/>
        <w:ind w:left="698" w:firstLine="720"/>
      </w:pPr>
    </w:p>
    <w:p w:rsidR="004D16EA" w:rsidRDefault="004D16EA" w:rsidP="004D16EA">
      <w:pPr>
        <w:pStyle w:val="BodytextEASH"/>
        <w:sectPr w:rsidR="004D16EA" w:rsidSect="00DA1268">
          <w:headerReference w:type="default" r:id="rId9"/>
          <w:pgSz w:w="11906" w:h="16838"/>
          <w:pgMar w:top="2570" w:right="0" w:bottom="1440" w:left="22" w:header="11" w:footer="708" w:gutter="0"/>
          <w:cols w:space="708"/>
          <w:docGrid w:linePitch="360"/>
        </w:sectPr>
      </w:pPr>
    </w:p>
    <w:p w:rsidR="00FD53AE" w:rsidRDefault="00FD53AE" w:rsidP="00CD532F">
      <w:pPr>
        <w:pStyle w:val="BodytextEASH"/>
        <w:ind w:left="698" w:firstLine="720"/>
      </w:pPr>
    </w:p>
    <w:p w:rsidR="00A57AE6" w:rsidRDefault="00A57AE6" w:rsidP="00CD532F">
      <w:pPr>
        <w:pStyle w:val="BodytextEASH"/>
        <w:ind w:left="698" w:firstLine="720"/>
      </w:pPr>
    </w:p>
    <w:tbl>
      <w:tblPr>
        <w:tblW w:w="14879" w:type="dxa"/>
        <w:tblLook w:val="04A0" w:firstRow="1" w:lastRow="0" w:firstColumn="1" w:lastColumn="0" w:noHBand="0" w:noVBand="1"/>
      </w:tblPr>
      <w:tblGrid>
        <w:gridCol w:w="2689"/>
        <w:gridCol w:w="3114"/>
        <w:gridCol w:w="1705"/>
        <w:gridCol w:w="3686"/>
        <w:gridCol w:w="3685"/>
      </w:tblGrid>
      <w:tr w:rsidR="00A57AE6" w:rsidRPr="000D486E" w:rsidTr="00FE5670">
        <w:trPr>
          <w:trHeight w:val="2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8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8"/>
                <w:szCs w:val="20"/>
                <w:lang w:val="en-US"/>
              </w:rPr>
              <w:t> 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Cs w:val="20"/>
                <w:lang w:val="en-US"/>
              </w:rPr>
            </w:pPr>
            <w:proofErr w:type="spellStart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Remdesivir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Sotrovimab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Cs w:val="20"/>
                <w:lang w:val="en-US"/>
              </w:rPr>
            </w:pPr>
            <w:proofErr w:type="spellStart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Paxlovid</w:t>
            </w:r>
            <w:proofErr w:type="spellEnd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 xml:space="preserve"> (</w:t>
            </w:r>
            <w:proofErr w:type="spellStart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Nirmarelvir</w:t>
            </w:r>
            <w:proofErr w:type="spellEnd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/Ritonavir)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Cs w:val="20"/>
                <w:lang w:val="en-US"/>
              </w:rPr>
            </w:pPr>
            <w:proofErr w:type="spellStart"/>
            <w:r w:rsidRPr="000D486E">
              <w:rPr>
                <w:rFonts w:ascii="Arial" w:hAnsi="Arial" w:cs="Arial"/>
                <w:color w:val="002F86" w:themeColor="text1"/>
                <w:szCs w:val="20"/>
                <w:lang w:val="en-US"/>
              </w:rPr>
              <w:t>molnupiravir</w:t>
            </w:r>
            <w:proofErr w:type="spellEnd"/>
          </w:p>
        </w:tc>
      </w:tr>
      <w:tr w:rsidR="00A57AE6" w:rsidRPr="000D486E" w:rsidTr="00FE5670">
        <w:trPr>
          <w:trHeight w:val="93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Mode of action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3A1653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ribonucleotide analogue inhibitor of viral RNA polymerase</w:t>
            </w:r>
            <w: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. It b</w:t>
            </w:r>
            <w:r w:rsidR="00A57AE6"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ind</w:t>
            </w:r>
            <w: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s</w:t>
            </w:r>
            <w:r w:rsidR="00A57AE6"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to viral RNA-dependent RNA polymerase and inhibits viral replication by terminating RNA transcription prematurely.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Synthetic immunoglobulin that binds to the spike protein of the SARS-CoV-2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1653" w:rsidRPr="003A1653" w:rsidRDefault="00A57AE6" w:rsidP="003A165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proofErr w:type="spellStart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Nirmatrelvir</w:t>
            </w:r>
            <w:proofErr w:type="spellEnd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is a </w:t>
            </w:r>
            <w:proofErr w:type="spellStart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peptidomimetic</w:t>
            </w:r>
            <w:proofErr w:type="spellEnd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inhibitor of the SARS-CoV-2 main protease (</w:t>
            </w:r>
            <w:proofErr w:type="spellStart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Mpro</w:t>
            </w:r>
            <w:proofErr w:type="spellEnd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). </w:t>
            </w:r>
          </w:p>
          <w:p w:rsidR="00A57AE6" w:rsidRPr="003A1653" w:rsidRDefault="00A57AE6" w:rsidP="003A165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Ritonavir inhibits the CYP3A-mediated metabolism of </w:t>
            </w:r>
            <w:proofErr w:type="spellStart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nirmatrelv</w:t>
            </w:r>
            <w:r w:rsidR="003A1653"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ir</w:t>
            </w:r>
            <w:proofErr w:type="spellEnd"/>
            <w:r w:rsidR="003A1653"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, thereby providing increased </w:t>
            </w:r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plasma concentrations of </w:t>
            </w:r>
            <w:proofErr w:type="spellStart"/>
            <w:r w:rsidRPr="003A1653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nirmatrelvir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prodrug that is metabolized to the </w:t>
            </w:r>
            <w:proofErr w:type="spellStart"/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ribonucleoside</w:t>
            </w:r>
            <w:proofErr w:type="spellEnd"/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analogue. incorporation into viral RNA by the viral RNA polymerase, results in an accumulation of errors in the viral genome</w:t>
            </w:r>
          </w:p>
        </w:tc>
      </w:tr>
      <w:tr w:rsidR="00A57AE6" w:rsidRPr="000D486E" w:rsidTr="00FE5670">
        <w:trPr>
          <w:trHeight w:val="35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Timing of treatment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Day 0-7 of symptoms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Day 0-5 of symptoms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Day 0-5 of symptoms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Day 0-5 of symptoms</w:t>
            </w:r>
          </w:p>
        </w:tc>
      </w:tr>
      <w:tr w:rsidR="00A57AE6" w:rsidRPr="000D486E" w:rsidTr="00FE5670">
        <w:trPr>
          <w:trHeight w:val="18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Route of administration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Intravenous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Intravenous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Oral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Oral</w:t>
            </w:r>
          </w:p>
        </w:tc>
      </w:tr>
      <w:tr w:rsidR="00A57AE6" w:rsidRPr="000D486E" w:rsidTr="00FE5670">
        <w:trPr>
          <w:trHeight w:val="22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Duration of treatment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3 days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single administration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5 days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5 days</w:t>
            </w:r>
          </w:p>
        </w:tc>
      </w:tr>
      <w:tr w:rsidR="00A57AE6" w:rsidRPr="000D486E" w:rsidTr="00FE5670">
        <w:trPr>
          <w:trHeight w:val="197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Contraindication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Hypersensitivity to the active substance or ingredients. Severe renal impairment (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eGFR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&lt;30). </w:t>
            </w:r>
          </w:p>
          <w:p w:rsidR="00A57AE6" w:rsidRPr="00974C77" w:rsidRDefault="00A57AE6" w:rsidP="00FE5670">
            <w:pPr>
              <w:rPr>
                <w:lang w:val="en-US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Hypersensitivity to the active substance or ingredients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Hypersensitivity to the active substance or ingredients.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Pregnancy.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Severe renal impairment (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eGFR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&lt;30).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Severe hepatic impairment (Child-Pugh Class C). </w:t>
            </w:r>
          </w:p>
          <w:p w:rsidR="00A57AE6" w:rsidRPr="00F97571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Co-administration with drugs that are highly dependent on CYP3A for clearance and for which elevated concentrations are associated with serious and/or life-threatening reactions.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Hypersensitivity to the active substance or ingredients.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9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Pregnancy</w:t>
            </w:r>
          </w:p>
        </w:tc>
      </w:tr>
      <w:tr w:rsidR="00A57AE6" w:rsidRPr="000D486E" w:rsidTr="00FE5670">
        <w:trPr>
          <w:trHeight w:val="1753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Precautions/special consideration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11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Can cause transient transaminase elevation.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1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Should only be used in patients with hepatic impairment if the potential benefit outweighs the potential risk.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1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Co</w:t>
            </w:r>
            <w: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-</w:t>
            </w: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administration with chloroquine phosphate or 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hydroxychloroquine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sulphate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is not recommended.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1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No safety data on breastfeeding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No safety data on breastfeeding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Moderate renal impairment (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eGFR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 30-60) would need renal dose adjustments.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Co-administration with drugs which are dependent on CYP3A metabolism.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Breast-feeding should be discontinued during treatment and for 7 days after the last dose.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It is recommended that men who are sexually active with a partner of childbearing potential use an adequate form of contraception during and 3 months after treatment with 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molnupiravir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. </w:t>
            </w:r>
          </w:p>
          <w:p w:rsidR="00A57AE6" w:rsidRPr="00974C77" w:rsidRDefault="00A57AE6" w:rsidP="00FE5670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 xml:space="preserve">It is recommended that sexually active women of childbearing potential use contraception during and for 4 days after treatment with </w:t>
            </w:r>
            <w:proofErr w:type="spellStart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molnupiravir</w:t>
            </w:r>
            <w:proofErr w:type="spellEnd"/>
            <w:r w:rsidRPr="00974C77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.</w:t>
            </w:r>
          </w:p>
        </w:tc>
      </w:tr>
      <w:tr w:rsidR="00A57AE6" w:rsidRPr="000D486E" w:rsidTr="00FE5670">
        <w:trPr>
          <w:trHeight w:val="82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 xml:space="preserve">Initial reported Relative risk reduction of </w:t>
            </w:r>
            <w:proofErr w:type="spellStart"/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hospitalisation</w:t>
            </w:r>
            <w:proofErr w:type="spellEnd"/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 xml:space="preserve"> or death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87%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85%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88%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30%</w:t>
            </w:r>
          </w:p>
        </w:tc>
      </w:tr>
      <w:tr w:rsidR="00A57AE6" w:rsidRPr="000D486E" w:rsidTr="00FE5670">
        <w:trPr>
          <w:trHeight w:val="74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 xml:space="preserve">Concerns about efficacy with </w:t>
            </w:r>
            <w:r w:rsidRPr="00F561A3">
              <w:rPr>
                <w:rFonts w:ascii="Arial" w:hAnsi="Arial" w:cs="Arial"/>
                <w:color w:val="002F86" w:themeColor="text1"/>
                <w:sz w:val="20"/>
                <w:szCs w:val="20"/>
                <w:lang w:val="en-US"/>
              </w:rPr>
              <w:t>variants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No current reported concerns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Concerns about reduced efficacy against the Omicron BA.2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No current reported concerns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AE6" w:rsidRPr="000D486E" w:rsidRDefault="00A57AE6" w:rsidP="00FE5670">
            <w:pPr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</w:pPr>
            <w:r w:rsidRPr="000D486E">
              <w:rPr>
                <w:rFonts w:ascii="Arial" w:hAnsi="Arial" w:cs="Arial"/>
                <w:color w:val="002F86" w:themeColor="text1"/>
                <w:sz w:val="16"/>
                <w:szCs w:val="20"/>
                <w:lang w:val="en-US"/>
              </w:rPr>
              <w:t>No current reported concerns</w:t>
            </w:r>
          </w:p>
        </w:tc>
      </w:tr>
    </w:tbl>
    <w:p w:rsidR="00A57AE6" w:rsidRPr="000D440A" w:rsidRDefault="00A57AE6" w:rsidP="00CD532F">
      <w:pPr>
        <w:pStyle w:val="BodytextEASH"/>
        <w:ind w:left="698" w:firstLine="720"/>
      </w:pPr>
    </w:p>
    <w:sectPr w:rsidR="00A57AE6" w:rsidRPr="000D440A" w:rsidSect="000D486E">
      <w:headerReference w:type="default" r:id="rId10"/>
      <w:pgSz w:w="16838" w:h="11906" w:orient="landscape"/>
      <w:pgMar w:top="720" w:right="720" w:bottom="720" w:left="720" w:header="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ED" w:rsidRDefault="00791FED" w:rsidP="006116BF">
      <w:r>
        <w:separator/>
      </w:r>
    </w:p>
  </w:endnote>
  <w:endnote w:type="continuationSeparator" w:id="0">
    <w:p w:rsidR="00791FED" w:rsidRDefault="00791FED" w:rsidP="006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ED" w:rsidRDefault="00791FED" w:rsidP="006116BF">
      <w:r>
        <w:separator/>
      </w:r>
    </w:p>
  </w:footnote>
  <w:footnote w:type="continuationSeparator" w:id="0">
    <w:p w:rsidR="00791FED" w:rsidRDefault="00791FED" w:rsidP="0061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FD5" w:rsidRDefault="00877FD5" w:rsidP="000D486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0C23AB47" wp14:editId="4F6E7E83">
          <wp:extent cx="7529512" cy="1553173"/>
          <wp:effectExtent l="0" t="0" r="1905" b="0"/>
          <wp:docPr id="1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28" cy="157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A3" w:rsidRDefault="00A57AE6" w:rsidP="00A57AE6">
    <w:pPr>
      <w:pStyle w:val="Header"/>
      <w:jc w:val="center"/>
    </w:pPr>
    <w:r>
      <w:rPr>
        <w:noProof/>
        <w:lang w:eastAsia="en-AU"/>
      </w:rPr>
      <w:drawing>
        <wp:inline distT="0" distB="0" distL="0" distR="0" wp14:anchorId="3F1915F5" wp14:editId="406C26AE">
          <wp:extent cx="7529512" cy="1553173"/>
          <wp:effectExtent l="0" t="0" r="190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228" cy="157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DB7"/>
    <w:multiLevelType w:val="hybridMultilevel"/>
    <w:tmpl w:val="423A1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7220"/>
    <w:multiLevelType w:val="hybridMultilevel"/>
    <w:tmpl w:val="154431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902CC"/>
    <w:multiLevelType w:val="hybridMultilevel"/>
    <w:tmpl w:val="0F9C30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D31"/>
    <w:multiLevelType w:val="hybridMultilevel"/>
    <w:tmpl w:val="C8CCF64C"/>
    <w:lvl w:ilvl="0" w:tplc="0C090013">
      <w:start w:val="1"/>
      <w:numFmt w:val="upperRoman"/>
      <w:lvlText w:val="%1."/>
      <w:lvlJc w:val="right"/>
      <w:pPr>
        <w:ind w:left="28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E90C2C"/>
    <w:multiLevelType w:val="hybridMultilevel"/>
    <w:tmpl w:val="6E74D43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B1E36D4"/>
    <w:multiLevelType w:val="hybridMultilevel"/>
    <w:tmpl w:val="2166A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49408A"/>
    <w:multiLevelType w:val="hybridMultilevel"/>
    <w:tmpl w:val="5A90D3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D81540"/>
    <w:multiLevelType w:val="hybridMultilevel"/>
    <w:tmpl w:val="0A362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C3743"/>
    <w:multiLevelType w:val="hybridMultilevel"/>
    <w:tmpl w:val="A42A6054"/>
    <w:lvl w:ilvl="0" w:tplc="61CC5C48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10350"/>
    <w:multiLevelType w:val="hybridMultilevel"/>
    <w:tmpl w:val="70587A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957FD2"/>
    <w:multiLevelType w:val="hybridMultilevel"/>
    <w:tmpl w:val="1A4E75DA"/>
    <w:lvl w:ilvl="0" w:tplc="EC78720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EA85021"/>
    <w:multiLevelType w:val="hybridMultilevel"/>
    <w:tmpl w:val="0D98E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60"/>
    <w:rsid w:val="00045C03"/>
    <w:rsid w:val="000927E0"/>
    <w:rsid w:val="000C4F25"/>
    <w:rsid w:val="000D440A"/>
    <w:rsid w:val="000D486E"/>
    <w:rsid w:val="000D5F52"/>
    <w:rsid w:val="000E2E90"/>
    <w:rsid w:val="0010047D"/>
    <w:rsid w:val="001248B5"/>
    <w:rsid w:val="00140B24"/>
    <w:rsid w:val="001A70A5"/>
    <w:rsid w:val="001B7E31"/>
    <w:rsid w:val="001D69DC"/>
    <w:rsid w:val="001F1891"/>
    <w:rsid w:val="00234BDC"/>
    <w:rsid w:val="00235288"/>
    <w:rsid w:val="002F7A8D"/>
    <w:rsid w:val="00303EE6"/>
    <w:rsid w:val="00356026"/>
    <w:rsid w:val="003A1653"/>
    <w:rsid w:val="003D6F79"/>
    <w:rsid w:val="003F07FF"/>
    <w:rsid w:val="003F10BE"/>
    <w:rsid w:val="00412993"/>
    <w:rsid w:val="00431B83"/>
    <w:rsid w:val="004D16EA"/>
    <w:rsid w:val="00534E25"/>
    <w:rsid w:val="005A303E"/>
    <w:rsid w:val="00603169"/>
    <w:rsid w:val="006116BF"/>
    <w:rsid w:val="00617F88"/>
    <w:rsid w:val="00653C88"/>
    <w:rsid w:val="00656B69"/>
    <w:rsid w:val="00682017"/>
    <w:rsid w:val="006A22AC"/>
    <w:rsid w:val="00743A05"/>
    <w:rsid w:val="00791FED"/>
    <w:rsid w:val="007F2187"/>
    <w:rsid w:val="00807FCE"/>
    <w:rsid w:val="008251ED"/>
    <w:rsid w:val="00861B78"/>
    <w:rsid w:val="00871CF2"/>
    <w:rsid w:val="00877FD5"/>
    <w:rsid w:val="008C469A"/>
    <w:rsid w:val="008D10B0"/>
    <w:rsid w:val="009442C9"/>
    <w:rsid w:val="00961718"/>
    <w:rsid w:val="00967DDB"/>
    <w:rsid w:val="009B6C7A"/>
    <w:rsid w:val="00A03601"/>
    <w:rsid w:val="00A40504"/>
    <w:rsid w:val="00A57AE6"/>
    <w:rsid w:val="00AB1279"/>
    <w:rsid w:val="00AB6C5D"/>
    <w:rsid w:val="00AE52B9"/>
    <w:rsid w:val="00B0326C"/>
    <w:rsid w:val="00B21A19"/>
    <w:rsid w:val="00B46F4A"/>
    <w:rsid w:val="00B47122"/>
    <w:rsid w:val="00B74860"/>
    <w:rsid w:val="00BA16C9"/>
    <w:rsid w:val="00BB5AC5"/>
    <w:rsid w:val="00BC18BC"/>
    <w:rsid w:val="00C64F9A"/>
    <w:rsid w:val="00CA1053"/>
    <w:rsid w:val="00CB5A54"/>
    <w:rsid w:val="00CD532F"/>
    <w:rsid w:val="00CF53DF"/>
    <w:rsid w:val="00D052CA"/>
    <w:rsid w:val="00D06738"/>
    <w:rsid w:val="00D21918"/>
    <w:rsid w:val="00D273DE"/>
    <w:rsid w:val="00D42382"/>
    <w:rsid w:val="00DA1268"/>
    <w:rsid w:val="00E246EA"/>
    <w:rsid w:val="00E5233A"/>
    <w:rsid w:val="00E65D3D"/>
    <w:rsid w:val="00F223E2"/>
    <w:rsid w:val="00F42812"/>
    <w:rsid w:val="00F43D13"/>
    <w:rsid w:val="00F51E98"/>
    <w:rsid w:val="00F561A3"/>
    <w:rsid w:val="00FD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FD72"/>
  <w15:docId w15:val="{AEA3B85F-DC21-4B1A-9A9F-11196AE3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6BF"/>
  </w:style>
  <w:style w:type="paragraph" w:styleId="Footer">
    <w:name w:val="footer"/>
    <w:basedOn w:val="Normal"/>
    <w:link w:val="FooterChar"/>
    <w:uiPriority w:val="99"/>
    <w:unhideWhenUsed/>
    <w:rsid w:val="006116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6BF"/>
  </w:style>
  <w:style w:type="paragraph" w:customStyle="1" w:styleId="BasicParagraph">
    <w:name w:val="[Basic Paragraph]"/>
    <w:basedOn w:val="Normal"/>
    <w:uiPriority w:val="99"/>
    <w:rsid w:val="006116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odytextEASH">
    <w:name w:val="Bodytext_EASH"/>
    <w:basedOn w:val="BasicParagraph"/>
    <w:qFormat/>
    <w:rsid w:val="001A70A5"/>
    <w:pPr>
      <w:spacing w:before="60" w:after="60" w:line="360" w:lineRule="auto"/>
      <w:ind w:left="1418" w:right="1418"/>
    </w:pPr>
    <w:rPr>
      <w:rFonts w:ascii="Arial" w:hAnsi="Arial" w:cs="Arial"/>
      <w:color w:val="002F86" w:themeColor="text1"/>
      <w:sz w:val="20"/>
      <w:szCs w:val="20"/>
    </w:rPr>
  </w:style>
  <w:style w:type="paragraph" w:customStyle="1" w:styleId="SubheadingLevel1EASH">
    <w:name w:val="Subheading Level 1_EASH"/>
    <w:basedOn w:val="BodytextEASH"/>
    <w:qFormat/>
    <w:rsid w:val="003D6F79"/>
    <w:pPr>
      <w:spacing w:before="100" w:after="100"/>
    </w:pPr>
    <w:rPr>
      <w:b/>
      <w:sz w:val="24"/>
      <w:lang w:val="en-AU"/>
    </w:rPr>
  </w:style>
  <w:style w:type="paragraph" w:customStyle="1" w:styleId="SubheadingLevel2EASH">
    <w:name w:val="Subheading Level 2_EASH"/>
    <w:basedOn w:val="BodytextEASH"/>
    <w:qFormat/>
    <w:rsid w:val="003D6F79"/>
    <w:rPr>
      <w:b/>
    </w:rPr>
  </w:style>
  <w:style w:type="table" w:styleId="TableGrid">
    <w:name w:val="Table Grid"/>
    <w:basedOn w:val="TableNormal"/>
    <w:uiPriority w:val="59"/>
    <w:rsid w:val="003D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LeftalignedEASH">
    <w:name w:val="Table Heading Left aligned_EASH"/>
    <w:basedOn w:val="BodytextEASH"/>
    <w:qFormat/>
    <w:rsid w:val="001A70A5"/>
    <w:pPr>
      <w:spacing w:line="240" w:lineRule="auto"/>
      <w:ind w:left="0" w:right="0"/>
    </w:pPr>
    <w:rPr>
      <w:b/>
      <w:caps/>
      <w:sz w:val="16"/>
    </w:rPr>
  </w:style>
  <w:style w:type="paragraph" w:customStyle="1" w:styleId="TableHeadingRightalignedEASH">
    <w:name w:val="Table Heading Right aligned_EASH"/>
    <w:basedOn w:val="TableHeadingLeftalignedEASH"/>
    <w:qFormat/>
    <w:rsid w:val="000E2E90"/>
    <w:pPr>
      <w:jc w:val="right"/>
    </w:pPr>
  </w:style>
  <w:style w:type="paragraph" w:customStyle="1" w:styleId="TableContentLeftalignedEASH">
    <w:name w:val="Table Content Left aligned_EASH"/>
    <w:basedOn w:val="BodytextEASH"/>
    <w:qFormat/>
    <w:rsid w:val="001A70A5"/>
    <w:pPr>
      <w:ind w:left="0" w:right="0"/>
    </w:pPr>
  </w:style>
  <w:style w:type="paragraph" w:customStyle="1" w:styleId="TableContentRightalignedEASH">
    <w:name w:val="Table Content Right aligned_EASH"/>
    <w:basedOn w:val="TableContentLeftalignedEASH"/>
    <w:qFormat/>
    <w:rsid w:val="000E2E90"/>
    <w:pPr>
      <w:jc w:val="right"/>
    </w:pPr>
  </w:style>
  <w:style w:type="paragraph" w:customStyle="1" w:styleId="DocMainHeadingLevel1EASH">
    <w:name w:val="Doc Main Heading Level 1_EASH"/>
    <w:basedOn w:val="BodytextEASH"/>
    <w:qFormat/>
    <w:rsid w:val="001A70A5"/>
    <w:pPr>
      <w:spacing w:line="240" w:lineRule="auto"/>
    </w:pPr>
    <w:rPr>
      <w:b/>
      <w:sz w:val="36"/>
      <w:lang w:val="en-AU"/>
    </w:rPr>
  </w:style>
  <w:style w:type="paragraph" w:customStyle="1" w:styleId="DocMainHeadingLevel2EASH">
    <w:name w:val="Doc Main Heading Level 2_EASH"/>
    <w:basedOn w:val="DocMainHeadingLevel1EASH"/>
    <w:qFormat/>
    <w:rsid w:val="001D69DC"/>
    <w:rPr>
      <w:b w:val="0"/>
    </w:rPr>
  </w:style>
  <w:style w:type="paragraph" w:customStyle="1" w:styleId="Default">
    <w:name w:val="Default"/>
    <w:rsid w:val="0035602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7F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6F4A"/>
    <w:pPr>
      <w:ind w:left="720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earlytreatmentclinic@easternhealth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lth.vic.gov.au/prioritisation-of-covid-19-medications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42\AppData\Local\Microsoft\Windows\INetCache\Content.Outlook\AGT4N1D2\Sotrovimab%20for%20outpatients.dotx" TargetMode="External"/></Relationships>
</file>

<file path=word/theme/theme1.xml><?xml version="1.0" encoding="utf-8"?>
<a:theme xmlns:a="http://schemas.openxmlformats.org/drawingml/2006/main" name="Office Theme">
  <a:themeElements>
    <a:clrScheme name="Eastern Health">
      <a:dk1>
        <a:srgbClr val="002F86"/>
      </a:dk1>
      <a:lt1>
        <a:srgbClr val="FFFFFF"/>
      </a:lt1>
      <a:dk2>
        <a:srgbClr val="FFC845"/>
      </a:dk2>
      <a:lt2>
        <a:srgbClr val="FFFFFF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Sotrovimab for outpatients</Template>
  <TotalTime>0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Kara</dc:creator>
  <cp:keywords/>
  <dc:description/>
  <cp:lastModifiedBy>Nowak, Kara</cp:lastModifiedBy>
  <cp:revision>2</cp:revision>
  <cp:lastPrinted>2021-10-27T01:39:00Z</cp:lastPrinted>
  <dcterms:created xsi:type="dcterms:W3CDTF">2022-04-11T00:54:00Z</dcterms:created>
  <dcterms:modified xsi:type="dcterms:W3CDTF">2022-04-11T00:54:00Z</dcterms:modified>
</cp:coreProperties>
</file>