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51" w:rsidRDefault="00611930">
      <w:pPr>
        <w:rPr>
          <w:b/>
          <w:sz w:val="40"/>
          <w:szCs w:val="40"/>
        </w:rPr>
      </w:pPr>
      <w:bookmarkStart w:id="0" w:name="_GoBack"/>
      <w:bookmarkEnd w:id="0"/>
      <w:r>
        <w:rPr>
          <w:b/>
          <w:color w:val="C00000"/>
          <w:sz w:val="56"/>
          <w:szCs w:val="56"/>
        </w:rPr>
        <w:t>2017</w:t>
      </w:r>
      <w:r w:rsidR="001D187A">
        <w:rPr>
          <w:b/>
          <w:color w:val="C00000"/>
          <w:sz w:val="56"/>
          <w:szCs w:val="56"/>
        </w:rPr>
        <w:t xml:space="preserve"> Collaborative Care Planning Workshop</w:t>
      </w:r>
      <w:r w:rsidR="0078683B">
        <w:rPr>
          <w:b/>
          <w:color w:val="C00000"/>
          <w:sz w:val="56"/>
          <w:szCs w:val="56"/>
        </w:rPr>
        <w:t xml:space="preserve"> Report</w:t>
      </w:r>
    </w:p>
    <w:p w:rsidR="00D16787" w:rsidRPr="000D1E4A" w:rsidRDefault="00BD5FE6">
      <w:pPr>
        <w:rPr>
          <w:b/>
          <w:color w:val="365F91" w:themeColor="accent1" w:themeShade="BF"/>
          <w:sz w:val="28"/>
          <w:szCs w:val="28"/>
        </w:rPr>
      </w:pPr>
      <w:r w:rsidRPr="00BD5FE6">
        <w:rPr>
          <w:b/>
          <w:color w:val="365F91" w:themeColor="accent1" w:themeShade="BF"/>
          <w:sz w:val="28"/>
          <w:szCs w:val="28"/>
        </w:rPr>
        <w:t>Report provided by Bronwyn Williams – EMHSCA Project Officer</w:t>
      </w:r>
      <w:r w:rsidR="00B46DE4">
        <w:rPr>
          <w:b/>
          <w:color w:val="365F91" w:themeColor="accent1" w:themeShade="BF"/>
          <w:sz w:val="28"/>
          <w:szCs w:val="28"/>
        </w:rPr>
        <w:t xml:space="preserve"> </w:t>
      </w:r>
    </w:p>
    <w:p w:rsidR="000A0494" w:rsidRDefault="003A4928" w:rsidP="001979ED">
      <w:pPr>
        <w:spacing w:after="0" w:line="240" w:lineRule="auto"/>
        <w:rPr>
          <w:rFonts w:ascii="Calibri" w:eastAsia="Times New Roman" w:hAnsi="Calibri" w:cs="Calibri"/>
          <w:sz w:val="24"/>
          <w:szCs w:val="24"/>
        </w:rPr>
      </w:pPr>
      <w:r w:rsidRPr="002B77D8">
        <w:rPr>
          <w:rFonts w:ascii="Calibri" w:eastAsia="Times New Roman" w:hAnsi="Calibri" w:cs="Calibri"/>
          <w:sz w:val="24"/>
          <w:szCs w:val="24"/>
        </w:rPr>
        <w:t xml:space="preserve">The Annual </w:t>
      </w:r>
      <w:r w:rsidR="00DA29F3">
        <w:rPr>
          <w:rFonts w:ascii="Calibri" w:eastAsia="Times New Roman" w:hAnsi="Calibri" w:cs="Calibri"/>
          <w:sz w:val="24"/>
          <w:szCs w:val="24"/>
        </w:rPr>
        <w:t>Eastern Metropol</w:t>
      </w:r>
      <w:r w:rsidR="00515379">
        <w:rPr>
          <w:rFonts w:ascii="Calibri" w:eastAsia="Times New Roman" w:hAnsi="Calibri" w:cs="Calibri"/>
          <w:sz w:val="24"/>
          <w:szCs w:val="24"/>
        </w:rPr>
        <w:t>itan Region (</w:t>
      </w:r>
      <w:r w:rsidRPr="002B77D8">
        <w:rPr>
          <w:rFonts w:ascii="Calibri" w:eastAsia="Times New Roman" w:hAnsi="Calibri" w:cs="Calibri"/>
          <w:sz w:val="24"/>
          <w:szCs w:val="24"/>
        </w:rPr>
        <w:t>EMR</w:t>
      </w:r>
      <w:r w:rsidR="00515379">
        <w:rPr>
          <w:rFonts w:ascii="Calibri" w:eastAsia="Times New Roman" w:hAnsi="Calibri" w:cs="Calibri"/>
          <w:sz w:val="24"/>
          <w:szCs w:val="24"/>
        </w:rPr>
        <w:t>)</w:t>
      </w:r>
      <w:r w:rsidRPr="002B77D8">
        <w:rPr>
          <w:rFonts w:ascii="Calibri" w:eastAsia="Times New Roman" w:hAnsi="Calibri" w:cs="Calibri"/>
          <w:sz w:val="24"/>
          <w:szCs w:val="24"/>
        </w:rPr>
        <w:t xml:space="preserve"> </w:t>
      </w:r>
      <w:r w:rsidR="001D187A">
        <w:rPr>
          <w:rFonts w:ascii="Calibri" w:eastAsia="Times New Roman" w:hAnsi="Calibri" w:cs="Calibri"/>
          <w:sz w:val="24"/>
          <w:szCs w:val="24"/>
        </w:rPr>
        <w:t>Collaborative Care Planning</w:t>
      </w:r>
      <w:r w:rsidR="00F93EC7">
        <w:rPr>
          <w:rFonts w:ascii="Calibri" w:eastAsia="Times New Roman" w:hAnsi="Calibri" w:cs="Calibri"/>
          <w:sz w:val="24"/>
          <w:szCs w:val="24"/>
        </w:rPr>
        <w:t xml:space="preserve"> </w:t>
      </w:r>
      <w:r w:rsidR="00DA29F3">
        <w:rPr>
          <w:rFonts w:ascii="Calibri" w:eastAsia="Times New Roman" w:hAnsi="Calibri" w:cs="Calibri"/>
          <w:sz w:val="24"/>
          <w:szCs w:val="24"/>
        </w:rPr>
        <w:t>Workshop</w:t>
      </w:r>
      <w:r w:rsidR="00611930">
        <w:rPr>
          <w:rFonts w:ascii="Calibri" w:eastAsia="Times New Roman" w:hAnsi="Calibri" w:cs="Calibri"/>
          <w:sz w:val="24"/>
          <w:szCs w:val="24"/>
        </w:rPr>
        <w:t xml:space="preserve"> (</w:t>
      </w:r>
      <w:r w:rsidR="001D187A">
        <w:rPr>
          <w:rFonts w:ascii="Calibri" w:eastAsia="Times New Roman" w:hAnsi="Calibri" w:cs="Calibri"/>
          <w:sz w:val="24"/>
          <w:szCs w:val="24"/>
        </w:rPr>
        <w:t>CCPW)</w:t>
      </w:r>
      <w:r w:rsidR="00DA29F3">
        <w:rPr>
          <w:rFonts w:ascii="Calibri" w:eastAsia="Times New Roman" w:hAnsi="Calibri" w:cs="Calibri"/>
          <w:sz w:val="24"/>
          <w:szCs w:val="24"/>
        </w:rPr>
        <w:t xml:space="preserve"> </w:t>
      </w:r>
      <w:r w:rsidRPr="002B77D8">
        <w:rPr>
          <w:rFonts w:ascii="Calibri" w:eastAsia="Times New Roman" w:hAnsi="Calibri" w:cs="Calibri"/>
          <w:sz w:val="24"/>
          <w:szCs w:val="24"/>
        </w:rPr>
        <w:t>was held on</w:t>
      </w:r>
      <w:r w:rsidR="00F93EC7">
        <w:rPr>
          <w:rFonts w:ascii="Calibri" w:eastAsia="Times New Roman" w:hAnsi="Calibri" w:cs="Calibri"/>
          <w:sz w:val="24"/>
          <w:szCs w:val="24"/>
        </w:rPr>
        <w:t xml:space="preserve"> </w:t>
      </w:r>
      <w:r w:rsidR="00F93EC7" w:rsidRPr="00B46DE4">
        <w:rPr>
          <w:rFonts w:ascii="Calibri" w:eastAsia="Times New Roman" w:hAnsi="Calibri" w:cs="Calibri"/>
          <w:b/>
          <w:sz w:val="24"/>
          <w:szCs w:val="24"/>
        </w:rPr>
        <w:t>Thursday</w:t>
      </w:r>
      <w:r w:rsidR="00542228" w:rsidRPr="00B46DE4">
        <w:rPr>
          <w:rFonts w:ascii="Calibri" w:eastAsia="Times New Roman" w:hAnsi="Calibri" w:cs="Calibri"/>
          <w:b/>
          <w:sz w:val="24"/>
          <w:szCs w:val="24"/>
        </w:rPr>
        <w:t xml:space="preserve"> the</w:t>
      </w:r>
      <w:r w:rsidR="00BF7BF7" w:rsidRPr="00B46DE4">
        <w:rPr>
          <w:rFonts w:ascii="Calibri" w:eastAsia="Times New Roman" w:hAnsi="Calibri" w:cs="Calibri"/>
          <w:b/>
          <w:sz w:val="24"/>
          <w:szCs w:val="24"/>
        </w:rPr>
        <w:t xml:space="preserve"> </w:t>
      </w:r>
      <w:r w:rsidR="00611930">
        <w:rPr>
          <w:rFonts w:ascii="Calibri" w:eastAsia="Times New Roman" w:hAnsi="Calibri" w:cs="Calibri"/>
          <w:b/>
          <w:sz w:val="24"/>
          <w:szCs w:val="24"/>
        </w:rPr>
        <w:t>30</w:t>
      </w:r>
      <w:r w:rsidR="00611930" w:rsidRPr="00611930">
        <w:rPr>
          <w:rFonts w:ascii="Calibri" w:eastAsia="Times New Roman" w:hAnsi="Calibri" w:cs="Calibri"/>
          <w:b/>
          <w:sz w:val="24"/>
          <w:szCs w:val="24"/>
          <w:vertAlign w:val="superscript"/>
        </w:rPr>
        <w:t>th</w:t>
      </w:r>
      <w:r w:rsidR="00611930">
        <w:rPr>
          <w:rFonts w:ascii="Calibri" w:eastAsia="Times New Roman" w:hAnsi="Calibri" w:cs="Calibri"/>
          <w:b/>
          <w:sz w:val="24"/>
          <w:szCs w:val="24"/>
        </w:rPr>
        <w:t xml:space="preserve"> March 2017</w:t>
      </w:r>
      <w:r w:rsidR="00BF7BF7">
        <w:rPr>
          <w:rFonts w:ascii="Calibri" w:eastAsia="Times New Roman" w:hAnsi="Calibri" w:cs="Calibri"/>
          <w:sz w:val="24"/>
          <w:szCs w:val="24"/>
        </w:rPr>
        <w:t xml:space="preserve"> in the </w:t>
      </w:r>
      <w:r w:rsidR="00DA29F3">
        <w:rPr>
          <w:rFonts w:ascii="Calibri" w:eastAsia="Times New Roman" w:hAnsi="Calibri" w:cs="Calibri"/>
          <w:sz w:val="24"/>
          <w:szCs w:val="24"/>
        </w:rPr>
        <w:t>Matsudo Room</w:t>
      </w:r>
      <w:r w:rsidR="00BF7BF7">
        <w:rPr>
          <w:rFonts w:ascii="Calibri" w:eastAsia="Times New Roman" w:hAnsi="Calibri" w:cs="Calibri"/>
          <w:sz w:val="24"/>
          <w:szCs w:val="24"/>
        </w:rPr>
        <w:t xml:space="preserve"> at the Box</w:t>
      </w:r>
      <w:r w:rsidR="00DA29F3">
        <w:rPr>
          <w:rFonts w:ascii="Calibri" w:eastAsia="Times New Roman" w:hAnsi="Calibri" w:cs="Calibri"/>
          <w:sz w:val="24"/>
          <w:szCs w:val="24"/>
        </w:rPr>
        <w:t xml:space="preserve"> H</w:t>
      </w:r>
      <w:r w:rsidR="001D187A">
        <w:rPr>
          <w:rFonts w:ascii="Calibri" w:eastAsia="Times New Roman" w:hAnsi="Calibri" w:cs="Calibri"/>
          <w:sz w:val="24"/>
          <w:szCs w:val="24"/>
        </w:rPr>
        <w:t xml:space="preserve">ill Town Hall and catered for </w:t>
      </w:r>
      <w:r w:rsidR="00611930">
        <w:rPr>
          <w:rFonts w:ascii="Calibri" w:eastAsia="Times New Roman" w:hAnsi="Calibri" w:cs="Calibri"/>
          <w:sz w:val="24"/>
          <w:szCs w:val="24"/>
        </w:rPr>
        <w:t>65</w:t>
      </w:r>
      <w:r w:rsidR="00DA29F3">
        <w:rPr>
          <w:rFonts w:ascii="Calibri" w:eastAsia="Times New Roman" w:hAnsi="Calibri" w:cs="Calibri"/>
          <w:sz w:val="24"/>
          <w:szCs w:val="24"/>
        </w:rPr>
        <w:t xml:space="preserve"> </w:t>
      </w:r>
      <w:r w:rsidRPr="002B77D8">
        <w:rPr>
          <w:rFonts w:ascii="Calibri" w:eastAsia="Times New Roman" w:hAnsi="Calibri" w:cs="Calibri"/>
          <w:sz w:val="24"/>
          <w:szCs w:val="24"/>
        </w:rPr>
        <w:t xml:space="preserve"> attendees in total</w:t>
      </w:r>
      <w:r w:rsidR="00BF7BF7">
        <w:rPr>
          <w:rFonts w:ascii="Calibri" w:eastAsia="Times New Roman" w:hAnsi="Calibri" w:cs="Calibri"/>
          <w:sz w:val="24"/>
          <w:szCs w:val="24"/>
        </w:rPr>
        <w:t xml:space="preserve">. </w:t>
      </w:r>
      <w:r w:rsidR="000A0494" w:rsidRPr="002B77D8">
        <w:rPr>
          <w:rFonts w:ascii="Calibri" w:eastAsia="Times New Roman" w:hAnsi="Calibri" w:cs="Calibri"/>
          <w:sz w:val="24"/>
          <w:szCs w:val="24"/>
        </w:rPr>
        <w:t xml:space="preserve"> This event is provided </w:t>
      </w:r>
      <w:r w:rsidR="00515379">
        <w:rPr>
          <w:rFonts w:ascii="Calibri" w:eastAsia="Times New Roman" w:hAnsi="Calibri" w:cs="Calibri"/>
          <w:sz w:val="24"/>
          <w:szCs w:val="24"/>
        </w:rPr>
        <w:t>annually by the EMHSCA Workforce D</w:t>
      </w:r>
      <w:r w:rsidR="000A0494" w:rsidRPr="002B77D8">
        <w:rPr>
          <w:rFonts w:ascii="Calibri" w:eastAsia="Times New Roman" w:hAnsi="Calibri" w:cs="Calibri"/>
          <w:sz w:val="24"/>
          <w:szCs w:val="24"/>
        </w:rPr>
        <w:t>evelopment su</w:t>
      </w:r>
      <w:r w:rsidR="00515379">
        <w:rPr>
          <w:rFonts w:ascii="Calibri" w:eastAsia="Times New Roman" w:hAnsi="Calibri" w:cs="Calibri"/>
          <w:sz w:val="24"/>
          <w:szCs w:val="24"/>
        </w:rPr>
        <w:t xml:space="preserve">b </w:t>
      </w:r>
      <w:r w:rsidR="00611930">
        <w:rPr>
          <w:rFonts w:ascii="Calibri" w:eastAsia="Times New Roman" w:hAnsi="Calibri" w:cs="Calibri"/>
          <w:sz w:val="24"/>
          <w:szCs w:val="24"/>
        </w:rPr>
        <w:t>committee which consists of 10</w:t>
      </w:r>
      <w:r w:rsidR="000A0494" w:rsidRPr="002B77D8">
        <w:rPr>
          <w:rFonts w:ascii="Calibri" w:eastAsia="Times New Roman" w:hAnsi="Calibri" w:cs="Calibri"/>
          <w:sz w:val="24"/>
          <w:szCs w:val="24"/>
        </w:rPr>
        <w:t xml:space="preserve"> staff from a vari</w:t>
      </w:r>
      <w:r w:rsidR="00BF7BF7">
        <w:rPr>
          <w:rFonts w:ascii="Calibri" w:eastAsia="Times New Roman" w:hAnsi="Calibri" w:cs="Calibri"/>
          <w:sz w:val="24"/>
          <w:szCs w:val="24"/>
        </w:rPr>
        <w:t>ety of EMHSCA</w:t>
      </w:r>
      <w:r w:rsidR="000A0494" w:rsidRPr="002B77D8">
        <w:rPr>
          <w:rFonts w:ascii="Calibri" w:eastAsia="Times New Roman" w:hAnsi="Calibri" w:cs="Calibri"/>
          <w:sz w:val="24"/>
          <w:szCs w:val="24"/>
        </w:rPr>
        <w:t xml:space="preserve"> services. </w:t>
      </w:r>
      <w:r w:rsidR="00BF7BF7">
        <w:rPr>
          <w:rFonts w:ascii="Calibri" w:eastAsia="Times New Roman" w:hAnsi="Calibri" w:cs="Calibri"/>
          <w:sz w:val="24"/>
          <w:szCs w:val="24"/>
        </w:rPr>
        <w:t>A number of additional</w:t>
      </w:r>
      <w:r w:rsidR="000A0494" w:rsidRPr="002B77D8">
        <w:rPr>
          <w:rFonts w:ascii="Calibri" w:eastAsia="Times New Roman" w:hAnsi="Calibri" w:cs="Calibri"/>
          <w:sz w:val="24"/>
          <w:szCs w:val="24"/>
        </w:rPr>
        <w:t xml:space="preserve"> staff also assist the committee on the day of the event.</w:t>
      </w:r>
    </w:p>
    <w:p w:rsidR="00B46DE4" w:rsidRDefault="00B46DE4" w:rsidP="001979ED">
      <w:pPr>
        <w:spacing w:after="0" w:line="240" w:lineRule="auto"/>
        <w:rPr>
          <w:rFonts w:ascii="Calibri" w:eastAsia="Times New Roman" w:hAnsi="Calibri" w:cs="Calibri"/>
          <w:sz w:val="24"/>
          <w:szCs w:val="24"/>
        </w:rPr>
      </w:pPr>
    </w:p>
    <w:p w:rsidR="00B46DE4" w:rsidRPr="00B46DE4" w:rsidRDefault="00B46DE4" w:rsidP="001979ED">
      <w:pPr>
        <w:spacing w:after="0" w:line="240" w:lineRule="auto"/>
        <w:rPr>
          <w:rFonts w:ascii="Calibri" w:eastAsia="Times New Roman" w:hAnsi="Calibri" w:cs="Calibri"/>
          <w:sz w:val="36"/>
          <w:szCs w:val="36"/>
        </w:rPr>
      </w:pPr>
      <w:r w:rsidRPr="00B46DE4">
        <w:rPr>
          <w:rFonts w:ascii="Calibri" w:eastAsia="Times New Roman" w:hAnsi="Calibri" w:cs="Calibri"/>
          <w:sz w:val="36"/>
          <w:szCs w:val="36"/>
        </w:rPr>
        <w:t>The Aim</w:t>
      </w:r>
    </w:p>
    <w:p w:rsidR="00B46DE4" w:rsidRDefault="00B46DE4" w:rsidP="001979ED">
      <w:pPr>
        <w:spacing w:after="0" w:line="240" w:lineRule="auto"/>
        <w:rPr>
          <w:rFonts w:ascii="Calibri" w:eastAsia="Times New Roman" w:hAnsi="Calibri" w:cs="Calibri"/>
          <w:sz w:val="24"/>
          <w:szCs w:val="24"/>
        </w:rPr>
      </w:pPr>
    </w:p>
    <w:p w:rsidR="008132CE" w:rsidRDefault="001B21C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purpose of this event is to </w:t>
      </w:r>
      <w:r w:rsidR="00BC5675">
        <w:rPr>
          <w:rFonts w:ascii="Calibri" w:eastAsia="Times New Roman" w:hAnsi="Calibri" w:cs="Calibri"/>
          <w:sz w:val="24"/>
          <w:szCs w:val="24"/>
        </w:rPr>
        <w:t>or</w:t>
      </w:r>
      <w:r w:rsidR="001408BB">
        <w:rPr>
          <w:rFonts w:ascii="Calibri" w:eastAsia="Times New Roman" w:hAnsi="Calibri" w:cs="Calibri"/>
          <w:sz w:val="24"/>
          <w:szCs w:val="24"/>
        </w:rPr>
        <w:t xml:space="preserve">ient </w:t>
      </w:r>
      <w:r w:rsidR="00611930">
        <w:rPr>
          <w:rFonts w:ascii="Calibri" w:eastAsia="Times New Roman" w:hAnsi="Calibri" w:cs="Calibri"/>
          <w:sz w:val="24"/>
          <w:szCs w:val="24"/>
        </w:rPr>
        <w:t>staff</w:t>
      </w:r>
      <w:r w:rsidR="001408BB">
        <w:rPr>
          <w:rFonts w:ascii="Calibri" w:eastAsia="Times New Roman" w:hAnsi="Calibri" w:cs="Calibri"/>
          <w:sz w:val="24"/>
          <w:szCs w:val="24"/>
        </w:rPr>
        <w:t xml:space="preserve"> from</w:t>
      </w:r>
      <w:r w:rsidR="00BC5675">
        <w:rPr>
          <w:rFonts w:ascii="Calibri" w:eastAsia="Times New Roman" w:hAnsi="Calibri" w:cs="Calibri"/>
          <w:sz w:val="24"/>
          <w:szCs w:val="24"/>
        </w:rPr>
        <w:t xml:space="preserve"> </w:t>
      </w:r>
      <w:r w:rsidR="001408BB">
        <w:rPr>
          <w:rFonts w:ascii="Calibri" w:eastAsia="Times New Roman" w:hAnsi="Calibri" w:cs="Calibri"/>
          <w:sz w:val="24"/>
          <w:szCs w:val="24"/>
        </w:rPr>
        <w:t xml:space="preserve">health &amp; community services across </w:t>
      </w:r>
      <w:r w:rsidR="00BC5675">
        <w:rPr>
          <w:rFonts w:ascii="Calibri" w:eastAsia="Times New Roman" w:hAnsi="Calibri" w:cs="Calibri"/>
          <w:sz w:val="24"/>
          <w:szCs w:val="24"/>
        </w:rPr>
        <w:t>the EMR to the EMHSCA Shared Care Protocol and provide opportunity to explore the challenges of collaborative practices with an emphasis on generating solutions</w:t>
      </w:r>
      <w:r w:rsidR="008132CE">
        <w:rPr>
          <w:rFonts w:ascii="Calibri" w:eastAsia="Times New Roman" w:hAnsi="Calibri" w:cs="Calibri"/>
          <w:sz w:val="24"/>
          <w:szCs w:val="24"/>
        </w:rPr>
        <w:t xml:space="preserve">. </w:t>
      </w:r>
    </w:p>
    <w:p w:rsidR="00BC5675" w:rsidRDefault="00BC5675" w:rsidP="001979ED">
      <w:pPr>
        <w:spacing w:after="0" w:line="240" w:lineRule="auto"/>
        <w:rPr>
          <w:rFonts w:ascii="Calibri" w:eastAsia="Times New Roman" w:hAnsi="Calibri" w:cs="Calibri"/>
          <w:sz w:val="24"/>
          <w:szCs w:val="24"/>
        </w:rPr>
      </w:pPr>
    </w:p>
    <w:p w:rsidR="0072768C" w:rsidRDefault="0072768C" w:rsidP="0072768C">
      <w:pPr>
        <w:rPr>
          <w:sz w:val="36"/>
          <w:szCs w:val="36"/>
        </w:rPr>
      </w:pPr>
      <w:r>
        <w:rPr>
          <w:sz w:val="36"/>
          <w:szCs w:val="36"/>
        </w:rPr>
        <w:t>The Program</w:t>
      </w:r>
    </w:p>
    <w:p w:rsidR="0072768C" w:rsidRDefault="0072768C" w:rsidP="0072768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This year the following </w:t>
      </w:r>
      <w:r w:rsidR="001D187A">
        <w:rPr>
          <w:rFonts w:ascii="Calibri" w:eastAsia="Times New Roman" w:hAnsi="Calibri" w:cs="Calibri"/>
          <w:sz w:val="24"/>
          <w:szCs w:val="24"/>
        </w:rPr>
        <w:t>topics were presented and discussed:</w:t>
      </w:r>
    </w:p>
    <w:p w:rsidR="0072768C" w:rsidRDefault="0072768C" w:rsidP="0072768C">
      <w:pPr>
        <w:spacing w:after="0" w:line="240" w:lineRule="auto"/>
        <w:rPr>
          <w:rFonts w:ascii="Calibri" w:eastAsia="Times New Roman" w:hAnsi="Calibri" w:cs="Calibri"/>
          <w:sz w:val="24"/>
          <w:szCs w:val="24"/>
        </w:rPr>
      </w:pPr>
    </w:p>
    <w:p w:rsidR="00611930"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Recovery Planning</w:t>
      </w:r>
    </w:p>
    <w:p w:rsidR="001D187A"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Shared Care Principles</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Challenges to collaboration</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Sharing of Information</w:t>
      </w:r>
    </w:p>
    <w:p w:rsidR="008132CE" w:rsidRPr="001D187A"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Colocation – DHS and PIR</w:t>
      </w:r>
    </w:p>
    <w:p w:rsidR="008132CE"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Collaboration with </w:t>
      </w:r>
      <w:r w:rsidR="001D187A" w:rsidRPr="001D187A">
        <w:rPr>
          <w:rFonts w:ascii="Calibri" w:eastAsia="Times New Roman" w:hAnsi="Calibri" w:cs="Calibri"/>
          <w:sz w:val="24"/>
          <w:szCs w:val="24"/>
        </w:rPr>
        <w:t>Carer</w:t>
      </w:r>
      <w:r>
        <w:rPr>
          <w:rFonts w:ascii="Calibri" w:eastAsia="Times New Roman" w:hAnsi="Calibri" w:cs="Calibri"/>
          <w:sz w:val="24"/>
          <w:szCs w:val="24"/>
        </w:rPr>
        <w:t>s</w:t>
      </w:r>
      <w:r w:rsidR="001D187A" w:rsidRPr="001D187A">
        <w:rPr>
          <w:rFonts w:ascii="Calibri" w:eastAsia="Times New Roman" w:hAnsi="Calibri" w:cs="Calibri"/>
          <w:sz w:val="24"/>
          <w:szCs w:val="24"/>
        </w:rPr>
        <w:t xml:space="preserve"> </w:t>
      </w:r>
    </w:p>
    <w:p w:rsidR="00611930" w:rsidRPr="001D187A"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Collaboration with GPs </w:t>
      </w:r>
    </w:p>
    <w:p w:rsidR="001D187A" w:rsidRPr="001D187A"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Care Planning activities</w:t>
      </w:r>
    </w:p>
    <w:p w:rsid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Solutions brainstorm</w:t>
      </w:r>
    </w:p>
    <w:p w:rsidR="00611930" w:rsidRPr="001D187A" w:rsidRDefault="00611930" w:rsidP="001D187A">
      <w:pPr>
        <w:pStyle w:val="ListParagraph"/>
        <w:numPr>
          <w:ilvl w:val="0"/>
          <w:numId w:val="3"/>
        </w:numPr>
        <w:spacing w:after="0" w:line="240" w:lineRule="auto"/>
        <w:rPr>
          <w:rFonts w:ascii="Calibri" w:eastAsia="Times New Roman" w:hAnsi="Calibri" w:cs="Calibri"/>
          <w:sz w:val="24"/>
          <w:szCs w:val="24"/>
        </w:rPr>
      </w:pPr>
      <w:r>
        <w:rPr>
          <w:rFonts w:ascii="Calibri" w:eastAsia="Times New Roman" w:hAnsi="Calibri" w:cs="Calibri"/>
          <w:sz w:val="24"/>
          <w:szCs w:val="24"/>
        </w:rPr>
        <w:t>Commitment to collaborate</w:t>
      </w:r>
    </w:p>
    <w:p w:rsidR="001D187A" w:rsidRDefault="001D187A" w:rsidP="001979ED">
      <w:pPr>
        <w:spacing w:after="0" w:line="240" w:lineRule="auto"/>
        <w:rPr>
          <w:rFonts w:ascii="Calibri" w:eastAsia="Times New Roman" w:hAnsi="Calibri" w:cs="Calibri"/>
          <w:sz w:val="24"/>
          <w:szCs w:val="24"/>
        </w:rPr>
      </w:pPr>
    </w:p>
    <w:p w:rsidR="001D187A" w:rsidRDefault="001D187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Master of </w:t>
      </w:r>
      <w:r w:rsidR="008A15D7">
        <w:rPr>
          <w:rFonts w:ascii="Calibri" w:eastAsia="Times New Roman" w:hAnsi="Calibri" w:cs="Calibri"/>
          <w:sz w:val="24"/>
          <w:szCs w:val="24"/>
        </w:rPr>
        <w:t>Ceremonies</w:t>
      </w:r>
      <w:r>
        <w:rPr>
          <w:rFonts w:ascii="Calibri" w:eastAsia="Times New Roman" w:hAnsi="Calibri" w:cs="Calibri"/>
          <w:sz w:val="24"/>
          <w:szCs w:val="24"/>
        </w:rPr>
        <w:t xml:space="preserve"> was </w:t>
      </w:r>
      <w:r w:rsidR="00611930">
        <w:rPr>
          <w:rFonts w:ascii="Calibri" w:eastAsia="Times New Roman" w:hAnsi="Calibri" w:cs="Calibri"/>
          <w:sz w:val="24"/>
          <w:szCs w:val="24"/>
        </w:rPr>
        <w:t>Bronwyn Williams</w:t>
      </w:r>
      <w:r>
        <w:rPr>
          <w:rFonts w:ascii="Calibri" w:eastAsia="Times New Roman" w:hAnsi="Calibri" w:cs="Calibri"/>
          <w:sz w:val="24"/>
          <w:szCs w:val="24"/>
        </w:rPr>
        <w:t xml:space="preserve"> of </w:t>
      </w:r>
      <w:r w:rsidR="00611930">
        <w:rPr>
          <w:rFonts w:ascii="Calibri" w:eastAsia="Times New Roman" w:hAnsi="Calibri" w:cs="Calibri"/>
          <w:sz w:val="24"/>
          <w:szCs w:val="24"/>
        </w:rPr>
        <w:t>Eastern Health</w:t>
      </w:r>
      <w:r>
        <w:rPr>
          <w:rFonts w:ascii="Calibri" w:eastAsia="Times New Roman" w:hAnsi="Calibri" w:cs="Calibri"/>
          <w:sz w:val="24"/>
          <w:szCs w:val="24"/>
        </w:rPr>
        <w:t>.</w:t>
      </w:r>
    </w:p>
    <w:p w:rsidR="00F93EC7" w:rsidRDefault="001D187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Topical</w:t>
      </w:r>
      <w:r w:rsidR="002A0D7C">
        <w:rPr>
          <w:rFonts w:ascii="Calibri" w:eastAsia="Times New Roman" w:hAnsi="Calibri" w:cs="Calibri"/>
          <w:sz w:val="24"/>
          <w:szCs w:val="24"/>
        </w:rPr>
        <w:t xml:space="preserve"> p</w:t>
      </w:r>
      <w:r w:rsidR="00F93EC7">
        <w:rPr>
          <w:rFonts w:ascii="Calibri" w:eastAsia="Times New Roman" w:hAnsi="Calibri" w:cs="Calibri"/>
          <w:sz w:val="24"/>
          <w:szCs w:val="24"/>
        </w:rPr>
        <w:t xml:space="preserve">resenters included staff from Eastern Health, </w:t>
      </w:r>
      <w:r w:rsidR="00611930">
        <w:rPr>
          <w:rFonts w:ascii="Calibri" w:eastAsia="Times New Roman" w:hAnsi="Calibri" w:cs="Calibri"/>
          <w:sz w:val="24"/>
          <w:szCs w:val="24"/>
        </w:rPr>
        <w:t>Wellways</w:t>
      </w:r>
      <w:r w:rsidR="00F93EC7">
        <w:rPr>
          <w:rFonts w:ascii="Calibri" w:eastAsia="Times New Roman" w:hAnsi="Calibri" w:cs="Calibri"/>
          <w:sz w:val="24"/>
          <w:szCs w:val="24"/>
        </w:rPr>
        <w:t xml:space="preserve">, </w:t>
      </w:r>
      <w:r w:rsidR="00611930">
        <w:rPr>
          <w:rFonts w:ascii="Calibri" w:eastAsia="Times New Roman" w:hAnsi="Calibri" w:cs="Calibri"/>
          <w:sz w:val="24"/>
          <w:szCs w:val="24"/>
        </w:rPr>
        <w:t>Neami National and the Department of Human Services</w:t>
      </w:r>
      <w:r>
        <w:rPr>
          <w:rFonts w:ascii="Calibri" w:eastAsia="Times New Roman" w:hAnsi="Calibri" w:cs="Calibri"/>
          <w:sz w:val="24"/>
          <w:szCs w:val="24"/>
        </w:rPr>
        <w:t>.</w:t>
      </w:r>
      <w:r w:rsidR="00611930">
        <w:rPr>
          <w:rFonts w:ascii="Calibri" w:eastAsia="Times New Roman" w:hAnsi="Calibri" w:cs="Calibri"/>
          <w:sz w:val="24"/>
          <w:szCs w:val="24"/>
        </w:rPr>
        <w:t xml:space="preserve"> The GP and Carer presentations were supported both physically and financially by the Eastern Melbourne Primary Health Network. A person with lived experience of mental ill health who is part of the Wellways </w:t>
      </w:r>
      <w:r w:rsidR="008A15D7">
        <w:rPr>
          <w:rFonts w:ascii="Calibri" w:eastAsia="Times New Roman" w:hAnsi="Calibri" w:cs="Calibri"/>
          <w:sz w:val="24"/>
          <w:szCs w:val="24"/>
        </w:rPr>
        <w:t>speakers’</w:t>
      </w:r>
      <w:r w:rsidR="00611930">
        <w:rPr>
          <w:rFonts w:ascii="Calibri" w:eastAsia="Times New Roman" w:hAnsi="Calibri" w:cs="Calibri"/>
          <w:sz w:val="24"/>
          <w:szCs w:val="24"/>
        </w:rPr>
        <w:t xml:space="preserve"> bureau shared her personal story and worked with participants in a care planning activity.</w:t>
      </w:r>
    </w:p>
    <w:p w:rsidR="00BC5675" w:rsidRDefault="00611930" w:rsidP="00BC5675">
      <w:pPr>
        <w:rPr>
          <w:sz w:val="24"/>
          <w:szCs w:val="24"/>
        </w:rPr>
      </w:pPr>
      <w:r>
        <w:rPr>
          <w:sz w:val="24"/>
          <w:szCs w:val="24"/>
        </w:rPr>
        <w:t xml:space="preserve">Eight table facilitators were employed </w:t>
      </w:r>
      <w:r w:rsidR="00BC5675">
        <w:rPr>
          <w:sz w:val="24"/>
          <w:szCs w:val="24"/>
        </w:rPr>
        <w:t>to ensure workshop exercises we</w:t>
      </w:r>
      <w:r w:rsidR="00712336">
        <w:rPr>
          <w:sz w:val="24"/>
          <w:szCs w:val="24"/>
        </w:rPr>
        <w:t xml:space="preserve">re well </w:t>
      </w:r>
      <w:r w:rsidR="008A15D7">
        <w:rPr>
          <w:sz w:val="24"/>
          <w:szCs w:val="24"/>
        </w:rPr>
        <w:t>utilised</w:t>
      </w:r>
      <w:r w:rsidR="00712336">
        <w:rPr>
          <w:sz w:val="24"/>
          <w:szCs w:val="24"/>
        </w:rPr>
        <w:t>, even with large numbers of</w:t>
      </w:r>
      <w:r w:rsidR="00BC5675">
        <w:rPr>
          <w:sz w:val="24"/>
          <w:szCs w:val="24"/>
        </w:rPr>
        <w:t xml:space="preserve"> attendees. These facilitators we</w:t>
      </w:r>
      <w:r w:rsidR="00712336">
        <w:rPr>
          <w:sz w:val="24"/>
          <w:szCs w:val="24"/>
        </w:rPr>
        <w:t>re briefed and provided with a guide to support their role.</w:t>
      </w:r>
    </w:p>
    <w:p w:rsidR="00BC5675" w:rsidRDefault="00BC5675" w:rsidP="00BC5675">
      <w:pPr>
        <w:rPr>
          <w:sz w:val="24"/>
          <w:szCs w:val="24"/>
        </w:rPr>
      </w:pPr>
      <w:r>
        <w:rPr>
          <w:sz w:val="24"/>
          <w:szCs w:val="24"/>
        </w:rPr>
        <w:lastRenderedPageBreak/>
        <w:t xml:space="preserve"> Th</w:t>
      </w:r>
      <w:r w:rsidR="00611930">
        <w:rPr>
          <w:sz w:val="24"/>
          <w:szCs w:val="24"/>
        </w:rPr>
        <w:t>e EMHSCA Shared care protocol was</w:t>
      </w:r>
      <w:r>
        <w:rPr>
          <w:sz w:val="24"/>
          <w:szCs w:val="24"/>
        </w:rPr>
        <w:t xml:space="preserve"> introduced by the project officer followed by a discussion of the principles and the</w:t>
      </w:r>
      <w:r w:rsidR="00611930">
        <w:rPr>
          <w:sz w:val="24"/>
          <w:szCs w:val="24"/>
        </w:rPr>
        <w:t xml:space="preserve"> challenges to collaboration. G</w:t>
      </w:r>
      <w:r>
        <w:rPr>
          <w:sz w:val="24"/>
          <w:szCs w:val="24"/>
        </w:rPr>
        <w:t>avin Foster provided a presentation on information sharing that encouraged participants to support appropriate interagency communication as well as communication with carers and families.</w:t>
      </w:r>
    </w:p>
    <w:p w:rsidR="00611930" w:rsidRDefault="00611930" w:rsidP="00BC5675">
      <w:pPr>
        <w:rPr>
          <w:sz w:val="24"/>
          <w:szCs w:val="24"/>
        </w:rPr>
      </w:pPr>
      <w:r>
        <w:rPr>
          <w:sz w:val="24"/>
          <w:szCs w:val="24"/>
        </w:rPr>
        <w:t xml:space="preserve">Alex Sutherland and Rachel Higgins </w:t>
      </w:r>
      <w:r w:rsidR="0096003A">
        <w:rPr>
          <w:sz w:val="24"/>
          <w:szCs w:val="24"/>
        </w:rPr>
        <w:t>introduced participants to the importance and considerations of having people with a lived experience of mental ill health working in services. They encouraged discussion about how various services are employing peer workers.</w:t>
      </w:r>
    </w:p>
    <w:p w:rsidR="00611930" w:rsidRDefault="00611930" w:rsidP="00BC5675">
      <w:pPr>
        <w:rPr>
          <w:sz w:val="24"/>
          <w:szCs w:val="24"/>
        </w:rPr>
      </w:pPr>
      <w:r>
        <w:rPr>
          <w:sz w:val="24"/>
          <w:szCs w:val="24"/>
        </w:rPr>
        <w:t xml:space="preserve">Lyn is a carer who provided a </w:t>
      </w:r>
      <w:r w:rsidR="0096003A">
        <w:rPr>
          <w:sz w:val="24"/>
          <w:szCs w:val="24"/>
        </w:rPr>
        <w:t>moving presentation to promote the importance of collaboration with carers.</w:t>
      </w:r>
    </w:p>
    <w:p w:rsidR="00BC5675" w:rsidRDefault="00611930" w:rsidP="00BC5675">
      <w:pPr>
        <w:rPr>
          <w:sz w:val="24"/>
          <w:szCs w:val="24"/>
        </w:rPr>
      </w:pPr>
      <w:r>
        <w:rPr>
          <w:sz w:val="24"/>
          <w:szCs w:val="24"/>
        </w:rPr>
        <w:t>Dr. Louise Alexander</w:t>
      </w:r>
      <w:r w:rsidR="0096003A">
        <w:rPr>
          <w:sz w:val="24"/>
          <w:szCs w:val="24"/>
        </w:rPr>
        <w:t xml:space="preserve"> outlined the typical day for a G.P. and discussed the challenges and enablers of collaboration with G.Ps based on 3 case scenarios.</w:t>
      </w:r>
    </w:p>
    <w:p w:rsidR="00BC5675" w:rsidRDefault="0096003A" w:rsidP="00BC5675">
      <w:pPr>
        <w:rPr>
          <w:sz w:val="24"/>
          <w:szCs w:val="24"/>
        </w:rPr>
      </w:pPr>
      <w:r>
        <w:rPr>
          <w:sz w:val="24"/>
          <w:szCs w:val="24"/>
        </w:rPr>
        <w:t>Deb shared her personal story and invited all to work together in developing the elements of a care plan with her. This was a powerful opportunity to consider working collaboratively when there are elements of complexity and putting the person’s needs before those of the service.</w:t>
      </w:r>
    </w:p>
    <w:p w:rsidR="00C30AA6" w:rsidRDefault="00C30AA6" w:rsidP="00BC5675">
      <w:pPr>
        <w:rPr>
          <w:sz w:val="24"/>
          <w:szCs w:val="24"/>
        </w:rPr>
      </w:pPr>
      <w:r>
        <w:rPr>
          <w:sz w:val="24"/>
          <w:szCs w:val="24"/>
        </w:rPr>
        <w:t>A solutions brainstorm lead to the generation of a document that outlines the key challenges and lists the proposed solutions. This has been circulated to all participants.</w:t>
      </w:r>
    </w:p>
    <w:p w:rsidR="00712336" w:rsidRPr="00C30AA6" w:rsidRDefault="00BC5675" w:rsidP="00C30AA6">
      <w:pPr>
        <w:rPr>
          <w:sz w:val="24"/>
          <w:szCs w:val="24"/>
        </w:rPr>
      </w:pPr>
      <w:r>
        <w:rPr>
          <w:sz w:val="24"/>
          <w:szCs w:val="24"/>
        </w:rPr>
        <w:t xml:space="preserve">All were encouraged to </w:t>
      </w:r>
      <w:r w:rsidR="0096003A">
        <w:rPr>
          <w:sz w:val="24"/>
          <w:szCs w:val="24"/>
        </w:rPr>
        <w:t xml:space="preserve">commit to </w:t>
      </w:r>
      <w:r>
        <w:rPr>
          <w:sz w:val="24"/>
          <w:szCs w:val="24"/>
        </w:rPr>
        <w:t>connect</w:t>
      </w:r>
      <w:r w:rsidR="0096003A">
        <w:rPr>
          <w:sz w:val="24"/>
          <w:szCs w:val="24"/>
        </w:rPr>
        <w:t>ing</w:t>
      </w:r>
      <w:r>
        <w:rPr>
          <w:sz w:val="24"/>
          <w:szCs w:val="24"/>
        </w:rPr>
        <w:t xml:space="preserve"> with others after the workshop by sharing details.</w:t>
      </w:r>
    </w:p>
    <w:p w:rsidR="00697D78" w:rsidRDefault="00697D78" w:rsidP="003A4928">
      <w:pPr>
        <w:spacing w:after="0" w:line="240" w:lineRule="auto"/>
        <w:rPr>
          <w:rFonts w:ascii="Calibri" w:eastAsia="Times New Roman" w:hAnsi="Calibri" w:cs="Calibri"/>
          <w:sz w:val="24"/>
          <w:szCs w:val="24"/>
          <w:highlight w:val="yellow"/>
        </w:rPr>
      </w:pPr>
    </w:p>
    <w:p w:rsidR="00B748ED" w:rsidRDefault="00B748ED" w:rsidP="003C6DC8">
      <w:pPr>
        <w:rPr>
          <w:sz w:val="36"/>
          <w:szCs w:val="36"/>
        </w:rPr>
      </w:pPr>
      <w:r>
        <w:rPr>
          <w:sz w:val="36"/>
          <w:szCs w:val="36"/>
        </w:rPr>
        <w:t>Feedback</w:t>
      </w:r>
    </w:p>
    <w:p w:rsidR="007272B7" w:rsidRDefault="002A0D7C" w:rsidP="003A7D7B">
      <w:pPr>
        <w:rPr>
          <w:sz w:val="24"/>
          <w:szCs w:val="24"/>
        </w:rPr>
      </w:pPr>
      <w:r>
        <w:rPr>
          <w:sz w:val="24"/>
          <w:szCs w:val="24"/>
        </w:rPr>
        <w:t>There was a great deal of enthusiasm expressed by attendees on the day. Formal feedback was sought and entered manually into survey monkey by the event crew supports at East</w:t>
      </w:r>
      <w:r w:rsidR="00F63BE3">
        <w:rPr>
          <w:sz w:val="24"/>
          <w:szCs w:val="24"/>
        </w:rPr>
        <w:t xml:space="preserve">ern Melbourne PHN. All sessions received ratings between </w:t>
      </w:r>
      <w:r w:rsidR="00BC5675">
        <w:rPr>
          <w:sz w:val="24"/>
          <w:szCs w:val="24"/>
        </w:rPr>
        <w:t>s</w:t>
      </w:r>
      <w:r w:rsidR="007272B7">
        <w:rPr>
          <w:sz w:val="24"/>
          <w:szCs w:val="24"/>
        </w:rPr>
        <w:t>omewhat useful</w:t>
      </w:r>
      <w:r w:rsidR="00BC5675">
        <w:rPr>
          <w:sz w:val="24"/>
          <w:szCs w:val="24"/>
        </w:rPr>
        <w:t xml:space="preserve"> and</w:t>
      </w:r>
      <w:r w:rsidR="007272B7">
        <w:rPr>
          <w:sz w:val="24"/>
          <w:szCs w:val="24"/>
        </w:rPr>
        <w:t xml:space="preserve"> very useful</w:t>
      </w:r>
      <w:r w:rsidR="00BC5675">
        <w:rPr>
          <w:sz w:val="24"/>
          <w:szCs w:val="24"/>
        </w:rPr>
        <w:t xml:space="preserve">. </w:t>
      </w:r>
      <w:r w:rsidR="007272B7">
        <w:rPr>
          <w:sz w:val="24"/>
          <w:szCs w:val="24"/>
        </w:rPr>
        <w:t xml:space="preserve">The solutions walk activity was slightly less popular this year with 4 people out of 47 rating it as less than ‘somewhat useful’.  However 77% of participants rated it as between 8 and 10 on the usefulness scale provided. </w:t>
      </w:r>
    </w:p>
    <w:p w:rsidR="00C30AA6" w:rsidRDefault="007272B7" w:rsidP="003A7D7B">
      <w:pPr>
        <w:rPr>
          <w:sz w:val="24"/>
          <w:szCs w:val="24"/>
        </w:rPr>
      </w:pPr>
      <w:r>
        <w:rPr>
          <w:sz w:val="24"/>
          <w:szCs w:val="24"/>
        </w:rPr>
        <w:t xml:space="preserve">The most popular activity was Deb’s personal story which was centred </w:t>
      </w:r>
      <w:r w:rsidR="008A15D7">
        <w:rPr>
          <w:sz w:val="24"/>
          <w:szCs w:val="24"/>
        </w:rPr>
        <w:t>on</w:t>
      </w:r>
      <w:r>
        <w:rPr>
          <w:sz w:val="24"/>
          <w:szCs w:val="24"/>
        </w:rPr>
        <w:t xml:space="preserve"> care planning in groups. Lyn’s carer presentation was rated as very useful by more than 60% of </w:t>
      </w:r>
      <w:r w:rsidR="008A15D7">
        <w:rPr>
          <w:sz w:val="24"/>
          <w:szCs w:val="24"/>
        </w:rPr>
        <w:t>participants</w:t>
      </w:r>
      <w:r>
        <w:rPr>
          <w:sz w:val="24"/>
          <w:szCs w:val="24"/>
        </w:rPr>
        <w:t xml:space="preserve"> and Dr. Louise Alexander’s presentation on collaboration with G.P’s was the next most </w:t>
      </w:r>
      <w:r w:rsidR="008A15D7">
        <w:rPr>
          <w:sz w:val="24"/>
          <w:szCs w:val="24"/>
        </w:rPr>
        <w:t>popular</w:t>
      </w:r>
      <w:r>
        <w:rPr>
          <w:sz w:val="24"/>
          <w:szCs w:val="24"/>
        </w:rPr>
        <w:t xml:space="preserve"> session. </w:t>
      </w:r>
    </w:p>
    <w:p w:rsidR="00B1513B" w:rsidRPr="004255D5" w:rsidRDefault="00B1513B" w:rsidP="00B1513B">
      <w:pPr>
        <w:rPr>
          <w:sz w:val="24"/>
          <w:szCs w:val="24"/>
        </w:rPr>
      </w:pPr>
      <w:r>
        <w:rPr>
          <w:sz w:val="24"/>
          <w:szCs w:val="24"/>
        </w:rPr>
        <w:t>Other popular aspects of the workshop were the collaboration, group work, networking, looking at the bigger picture, knowledge of the ‘lived experience’ workforce and learning about a variety of services.</w:t>
      </w:r>
    </w:p>
    <w:p w:rsidR="00B1513B" w:rsidRDefault="00B1513B" w:rsidP="00B1513B">
      <w:pPr>
        <w:rPr>
          <w:b/>
          <w:sz w:val="24"/>
          <w:szCs w:val="24"/>
        </w:rPr>
      </w:pPr>
      <w:r w:rsidRPr="004255D5">
        <w:rPr>
          <w:b/>
          <w:sz w:val="24"/>
          <w:szCs w:val="24"/>
        </w:rPr>
        <w:t>Comments</w:t>
      </w:r>
    </w:p>
    <w:p w:rsidR="00B1513B" w:rsidRDefault="00B1513B" w:rsidP="00B1513B">
      <w:pPr>
        <w:rPr>
          <w:sz w:val="24"/>
          <w:szCs w:val="24"/>
        </w:rPr>
      </w:pPr>
      <w:r>
        <w:rPr>
          <w:sz w:val="24"/>
          <w:szCs w:val="24"/>
        </w:rPr>
        <w:t>“</w:t>
      </w:r>
      <w:r w:rsidRPr="004255D5">
        <w:rPr>
          <w:sz w:val="24"/>
          <w:szCs w:val="24"/>
        </w:rPr>
        <w:t>really thorough information and then thinking work/exercises structure was great - will use it in my work!</w:t>
      </w:r>
      <w:r>
        <w:rPr>
          <w:sz w:val="24"/>
          <w:szCs w:val="24"/>
        </w:rPr>
        <w:t>”</w:t>
      </w:r>
    </w:p>
    <w:p w:rsidR="00B1513B" w:rsidRDefault="008A15D7" w:rsidP="00B1513B">
      <w:pPr>
        <w:rPr>
          <w:sz w:val="24"/>
          <w:szCs w:val="24"/>
        </w:rPr>
      </w:pPr>
      <w:r>
        <w:rPr>
          <w:sz w:val="24"/>
          <w:szCs w:val="24"/>
        </w:rPr>
        <w:t>“</w:t>
      </w:r>
      <w:r w:rsidRPr="004255D5">
        <w:rPr>
          <w:sz w:val="24"/>
          <w:szCs w:val="24"/>
        </w:rPr>
        <w:t xml:space="preserve">A </w:t>
      </w:r>
      <w:r>
        <w:rPr>
          <w:sz w:val="24"/>
          <w:szCs w:val="24"/>
        </w:rPr>
        <w:t>very good mix of topic contents".</w:t>
      </w:r>
      <w:r w:rsidRPr="004255D5">
        <w:rPr>
          <w:sz w:val="24"/>
          <w:szCs w:val="24"/>
        </w:rPr>
        <w:t xml:space="preserve"> </w:t>
      </w:r>
      <w:r w:rsidR="00B1513B" w:rsidRPr="004255D5">
        <w:rPr>
          <w:sz w:val="24"/>
          <w:szCs w:val="24"/>
        </w:rPr>
        <w:t>A good variety of activities, good interaction between participants</w:t>
      </w:r>
      <w:r w:rsidR="00B1513B">
        <w:rPr>
          <w:sz w:val="24"/>
          <w:szCs w:val="24"/>
        </w:rPr>
        <w:t>”</w:t>
      </w:r>
    </w:p>
    <w:p w:rsidR="00B1513B" w:rsidRDefault="00B1513B" w:rsidP="00B1513B">
      <w:pPr>
        <w:rPr>
          <w:sz w:val="24"/>
          <w:szCs w:val="24"/>
        </w:rPr>
      </w:pPr>
      <w:r>
        <w:rPr>
          <w:sz w:val="24"/>
          <w:szCs w:val="24"/>
        </w:rPr>
        <w:lastRenderedPageBreak/>
        <w:t>“</w:t>
      </w:r>
      <w:r w:rsidRPr="004255D5">
        <w:rPr>
          <w:sz w:val="24"/>
          <w:szCs w:val="24"/>
        </w:rPr>
        <w:t xml:space="preserve">The service spread per table was well thought through. </w:t>
      </w:r>
      <w:r w:rsidR="008A15D7" w:rsidRPr="004255D5">
        <w:rPr>
          <w:sz w:val="24"/>
          <w:szCs w:val="24"/>
        </w:rPr>
        <w:t>The</w:t>
      </w:r>
      <w:r w:rsidRPr="004255D5">
        <w:rPr>
          <w:sz w:val="24"/>
          <w:szCs w:val="24"/>
        </w:rPr>
        <w:t xml:space="preserve"> table activities generated </w:t>
      </w:r>
      <w:r>
        <w:rPr>
          <w:sz w:val="24"/>
          <w:szCs w:val="24"/>
        </w:rPr>
        <w:t xml:space="preserve">positive discussion and got the </w:t>
      </w:r>
      <w:r w:rsidRPr="004255D5">
        <w:rPr>
          <w:sz w:val="24"/>
          <w:szCs w:val="24"/>
        </w:rPr>
        <w:t>good old neurons firing</w:t>
      </w:r>
      <w:r>
        <w:rPr>
          <w:sz w:val="24"/>
          <w:szCs w:val="24"/>
        </w:rPr>
        <w:t>”</w:t>
      </w:r>
    </w:p>
    <w:p w:rsidR="00B1513B" w:rsidRDefault="00B1513B" w:rsidP="00B1513B">
      <w:pPr>
        <w:rPr>
          <w:sz w:val="24"/>
          <w:szCs w:val="24"/>
        </w:rPr>
      </w:pPr>
      <w:r>
        <w:rPr>
          <w:sz w:val="24"/>
          <w:szCs w:val="24"/>
        </w:rPr>
        <w:t>“</w:t>
      </w:r>
      <w:r w:rsidRPr="004255D5">
        <w:rPr>
          <w:sz w:val="24"/>
          <w:szCs w:val="24"/>
        </w:rPr>
        <w:t>involving Deb as part of the activity was invaluable</w:t>
      </w:r>
      <w:r>
        <w:rPr>
          <w:sz w:val="24"/>
          <w:szCs w:val="24"/>
        </w:rPr>
        <w:t>”</w:t>
      </w:r>
    </w:p>
    <w:p w:rsidR="004255D5" w:rsidRDefault="00B1513B" w:rsidP="003A7D7B">
      <w:pPr>
        <w:rPr>
          <w:sz w:val="24"/>
          <w:szCs w:val="24"/>
        </w:rPr>
      </w:pPr>
      <w:r>
        <w:rPr>
          <w:sz w:val="24"/>
          <w:szCs w:val="24"/>
        </w:rPr>
        <w:t>A number of people liked the food and the venue in their comments. Some people said they found the acoustics difficult for the group work.</w:t>
      </w:r>
    </w:p>
    <w:p w:rsidR="004255D5" w:rsidRDefault="004255D5" w:rsidP="003A7D7B">
      <w:pPr>
        <w:rPr>
          <w:sz w:val="24"/>
          <w:szCs w:val="24"/>
        </w:rPr>
      </w:pPr>
      <w:r>
        <w:rPr>
          <w:sz w:val="24"/>
          <w:szCs w:val="24"/>
        </w:rPr>
        <w:t xml:space="preserve">For the majority of participants the content of the workshop contained around 40% new information for them and the rest was confirmed knowledge. </w:t>
      </w:r>
    </w:p>
    <w:p w:rsidR="00B1513B" w:rsidRDefault="00B1513B" w:rsidP="00B1513B">
      <w:pPr>
        <w:rPr>
          <w:b/>
          <w:sz w:val="24"/>
          <w:szCs w:val="24"/>
        </w:rPr>
      </w:pPr>
      <w:r w:rsidRPr="004255D5">
        <w:rPr>
          <w:b/>
          <w:sz w:val="24"/>
          <w:szCs w:val="24"/>
        </w:rPr>
        <w:t>Comments</w:t>
      </w:r>
    </w:p>
    <w:p w:rsidR="00B1513B" w:rsidRDefault="00B1513B" w:rsidP="00B1513B">
      <w:pPr>
        <w:rPr>
          <w:sz w:val="24"/>
          <w:szCs w:val="24"/>
        </w:rPr>
      </w:pPr>
      <w:r>
        <w:rPr>
          <w:sz w:val="24"/>
          <w:szCs w:val="24"/>
        </w:rPr>
        <w:t>“</w:t>
      </w:r>
      <w:r w:rsidRPr="004255D5">
        <w:rPr>
          <w:sz w:val="24"/>
          <w:szCs w:val="24"/>
        </w:rPr>
        <w:t>really thorough information and then thinking work/exercises structure was great - will use it in my work!</w:t>
      </w:r>
      <w:r>
        <w:rPr>
          <w:sz w:val="24"/>
          <w:szCs w:val="24"/>
        </w:rPr>
        <w:t>”</w:t>
      </w:r>
    </w:p>
    <w:p w:rsidR="00B1513B" w:rsidRDefault="008A15D7" w:rsidP="00B1513B">
      <w:pPr>
        <w:rPr>
          <w:sz w:val="24"/>
          <w:szCs w:val="24"/>
        </w:rPr>
      </w:pPr>
      <w:r>
        <w:rPr>
          <w:sz w:val="24"/>
          <w:szCs w:val="24"/>
        </w:rPr>
        <w:t>“</w:t>
      </w:r>
      <w:r w:rsidRPr="004255D5">
        <w:rPr>
          <w:sz w:val="24"/>
          <w:szCs w:val="24"/>
        </w:rPr>
        <w:t xml:space="preserve">A </w:t>
      </w:r>
      <w:r>
        <w:rPr>
          <w:sz w:val="24"/>
          <w:szCs w:val="24"/>
        </w:rPr>
        <w:t>very good mix of topic contents".</w:t>
      </w:r>
      <w:r w:rsidRPr="004255D5">
        <w:rPr>
          <w:sz w:val="24"/>
          <w:szCs w:val="24"/>
        </w:rPr>
        <w:t xml:space="preserve"> </w:t>
      </w:r>
      <w:r w:rsidR="00B1513B" w:rsidRPr="004255D5">
        <w:rPr>
          <w:sz w:val="24"/>
          <w:szCs w:val="24"/>
        </w:rPr>
        <w:t>A good variety of activities, good interaction between participants</w:t>
      </w:r>
      <w:r w:rsidR="00B1513B">
        <w:rPr>
          <w:sz w:val="24"/>
          <w:szCs w:val="24"/>
        </w:rPr>
        <w:t>”</w:t>
      </w:r>
    </w:p>
    <w:p w:rsidR="00B1513B" w:rsidRDefault="00B1513B" w:rsidP="00B1513B">
      <w:pPr>
        <w:rPr>
          <w:sz w:val="24"/>
          <w:szCs w:val="24"/>
        </w:rPr>
      </w:pPr>
      <w:r>
        <w:rPr>
          <w:sz w:val="24"/>
          <w:szCs w:val="24"/>
        </w:rPr>
        <w:t>“</w:t>
      </w:r>
      <w:r w:rsidRPr="004255D5">
        <w:rPr>
          <w:sz w:val="24"/>
          <w:szCs w:val="24"/>
        </w:rPr>
        <w:t xml:space="preserve">The service spread per table was well thought through. </w:t>
      </w:r>
      <w:r w:rsidR="008A15D7" w:rsidRPr="004255D5">
        <w:rPr>
          <w:sz w:val="24"/>
          <w:szCs w:val="24"/>
        </w:rPr>
        <w:t>The</w:t>
      </w:r>
      <w:r w:rsidRPr="004255D5">
        <w:rPr>
          <w:sz w:val="24"/>
          <w:szCs w:val="24"/>
        </w:rPr>
        <w:t xml:space="preserve"> table activities generated </w:t>
      </w:r>
      <w:r>
        <w:rPr>
          <w:sz w:val="24"/>
          <w:szCs w:val="24"/>
        </w:rPr>
        <w:t xml:space="preserve">positive discussion and got the </w:t>
      </w:r>
      <w:r w:rsidRPr="004255D5">
        <w:rPr>
          <w:sz w:val="24"/>
          <w:szCs w:val="24"/>
        </w:rPr>
        <w:t>good old neurons firing</w:t>
      </w:r>
      <w:r>
        <w:rPr>
          <w:sz w:val="24"/>
          <w:szCs w:val="24"/>
        </w:rPr>
        <w:t>”</w:t>
      </w:r>
    </w:p>
    <w:p w:rsidR="00B1513B" w:rsidRDefault="00B1513B" w:rsidP="00B1513B">
      <w:pPr>
        <w:rPr>
          <w:sz w:val="24"/>
          <w:szCs w:val="24"/>
        </w:rPr>
      </w:pPr>
      <w:r>
        <w:rPr>
          <w:sz w:val="24"/>
          <w:szCs w:val="24"/>
        </w:rPr>
        <w:t>“</w:t>
      </w:r>
      <w:r w:rsidRPr="004255D5">
        <w:rPr>
          <w:sz w:val="24"/>
          <w:szCs w:val="24"/>
        </w:rPr>
        <w:t>involving Deb as part of the activity was invaluable</w:t>
      </w:r>
      <w:r>
        <w:rPr>
          <w:sz w:val="24"/>
          <w:szCs w:val="24"/>
        </w:rPr>
        <w:t>”</w:t>
      </w:r>
    </w:p>
    <w:p w:rsidR="00B1513B" w:rsidRDefault="00B1513B" w:rsidP="00B1513B">
      <w:pPr>
        <w:rPr>
          <w:sz w:val="24"/>
          <w:szCs w:val="24"/>
        </w:rPr>
      </w:pPr>
      <w:r>
        <w:rPr>
          <w:sz w:val="24"/>
          <w:szCs w:val="24"/>
        </w:rPr>
        <w:t>A number of people liked the food and the venue in their comments. Some people said they found the acoustics difficult for the group work.</w:t>
      </w:r>
    </w:p>
    <w:p w:rsidR="004255D5" w:rsidRDefault="004255D5" w:rsidP="003A7D7B">
      <w:pPr>
        <w:rPr>
          <w:sz w:val="24"/>
          <w:szCs w:val="24"/>
        </w:rPr>
      </w:pPr>
      <w:r>
        <w:rPr>
          <w:noProof/>
          <w:sz w:val="24"/>
          <w:szCs w:val="24"/>
          <w:lang w:eastAsia="en-AU"/>
        </w:rPr>
        <w:drawing>
          <wp:inline distT="0" distB="0" distL="0" distR="0" wp14:anchorId="1D6B1198" wp14:editId="2F8EA5E6">
            <wp:extent cx="5130800" cy="383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800" cy="3835400"/>
                    </a:xfrm>
                    <a:prstGeom prst="rect">
                      <a:avLst/>
                    </a:prstGeom>
                    <a:noFill/>
                    <a:ln>
                      <a:noFill/>
                    </a:ln>
                  </pic:spPr>
                </pic:pic>
              </a:graphicData>
            </a:graphic>
          </wp:inline>
        </w:drawing>
      </w:r>
    </w:p>
    <w:p w:rsidR="007272B7" w:rsidRPr="004255D5" w:rsidRDefault="007272B7" w:rsidP="003A7D7B">
      <w:pPr>
        <w:rPr>
          <w:b/>
          <w:sz w:val="24"/>
          <w:szCs w:val="24"/>
        </w:rPr>
      </w:pPr>
      <w:r w:rsidRPr="004255D5">
        <w:rPr>
          <w:b/>
          <w:sz w:val="24"/>
          <w:szCs w:val="24"/>
        </w:rPr>
        <w:lastRenderedPageBreak/>
        <w:t>Learnings for the Workforce Development Committee</w:t>
      </w:r>
    </w:p>
    <w:p w:rsidR="007272B7" w:rsidRDefault="007272B7" w:rsidP="003A7D7B">
      <w:pPr>
        <w:rPr>
          <w:sz w:val="24"/>
          <w:szCs w:val="24"/>
        </w:rPr>
      </w:pPr>
      <w:r>
        <w:rPr>
          <w:sz w:val="24"/>
          <w:szCs w:val="24"/>
        </w:rPr>
        <w:t>The care planning tools table discussion could have been more effective if more tools had been presented to the groups to facilitate the conversation. The onus was placed on the par</w:t>
      </w:r>
      <w:r w:rsidR="004255D5">
        <w:rPr>
          <w:sz w:val="24"/>
          <w:szCs w:val="24"/>
        </w:rPr>
        <w:t xml:space="preserve">ticipants to bring along their </w:t>
      </w:r>
      <w:r>
        <w:rPr>
          <w:sz w:val="24"/>
          <w:szCs w:val="24"/>
        </w:rPr>
        <w:t>o</w:t>
      </w:r>
      <w:r w:rsidR="004255D5">
        <w:rPr>
          <w:sz w:val="24"/>
          <w:szCs w:val="24"/>
        </w:rPr>
        <w:t>w</w:t>
      </w:r>
      <w:r>
        <w:rPr>
          <w:sz w:val="24"/>
          <w:szCs w:val="24"/>
        </w:rPr>
        <w:t>n service tools.</w:t>
      </w:r>
      <w:r w:rsidR="00B1513B">
        <w:rPr>
          <w:sz w:val="24"/>
          <w:szCs w:val="24"/>
        </w:rPr>
        <w:t xml:space="preserve"> Next year the WD </w:t>
      </w:r>
      <w:r w:rsidR="008A15D7">
        <w:rPr>
          <w:sz w:val="24"/>
          <w:szCs w:val="24"/>
        </w:rPr>
        <w:t>Subcommittee</w:t>
      </w:r>
      <w:r w:rsidR="004255D5">
        <w:rPr>
          <w:sz w:val="24"/>
          <w:szCs w:val="24"/>
        </w:rPr>
        <w:t xml:space="preserve"> will provide some tools on the day.</w:t>
      </w:r>
    </w:p>
    <w:p w:rsidR="004255D5" w:rsidRDefault="004255D5" w:rsidP="003A7D7B">
      <w:pPr>
        <w:rPr>
          <w:sz w:val="24"/>
          <w:szCs w:val="24"/>
        </w:rPr>
      </w:pPr>
      <w:r>
        <w:rPr>
          <w:sz w:val="24"/>
          <w:szCs w:val="24"/>
        </w:rPr>
        <w:t xml:space="preserve">Consideration needs to be given to having table </w:t>
      </w:r>
      <w:r w:rsidR="008A15D7">
        <w:rPr>
          <w:sz w:val="24"/>
          <w:szCs w:val="24"/>
        </w:rPr>
        <w:t>groups</w:t>
      </w:r>
      <w:r>
        <w:rPr>
          <w:sz w:val="24"/>
          <w:szCs w:val="24"/>
        </w:rPr>
        <w:t xml:space="preserve"> move around and find quieter places for discussions in future.</w:t>
      </w:r>
    </w:p>
    <w:p w:rsidR="00B1513B" w:rsidRDefault="00B1513B" w:rsidP="003A7D7B">
      <w:pPr>
        <w:rPr>
          <w:sz w:val="24"/>
          <w:szCs w:val="24"/>
        </w:rPr>
      </w:pPr>
      <w:r>
        <w:rPr>
          <w:sz w:val="24"/>
          <w:szCs w:val="24"/>
        </w:rPr>
        <w:t>All other aspects of the program are supported for continuation based on feedback.</w:t>
      </w:r>
    </w:p>
    <w:p w:rsidR="001408BB" w:rsidRDefault="001408BB" w:rsidP="003C6DC8">
      <w:pPr>
        <w:rPr>
          <w:sz w:val="24"/>
          <w:szCs w:val="24"/>
        </w:rPr>
      </w:pPr>
    </w:p>
    <w:p w:rsidR="003C6DC8" w:rsidRPr="000F03AA" w:rsidRDefault="003C6DC8" w:rsidP="003C6DC8">
      <w:pPr>
        <w:rPr>
          <w:sz w:val="36"/>
          <w:szCs w:val="36"/>
        </w:rPr>
      </w:pPr>
      <w:r w:rsidRPr="000F03AA">
        <w:rPr>
          <w:sz w:val="36"/>
          <w:szCs w:val="36"/>
        </w:rPr>
        <w:t xml:space="preserve">EMHSCA Workforce development committee </w:t>
      </w:r>
    </w:p>
    <w:p w:rsidR="003C6DC8" w:rsidRDefault="003C6DC8" w:rsidP="003C6DC8">
      <w:pPr>
        <w:rPr>
          <w:sz w:val="24"/>
          <w:szCs w:val="24"/>
        </w:rPr>
      </w:pPr>
      <w:r>
        <w:rPr>
          <w:sz w:val="24"/>
          <w:szCs w:val="24"/>
        </w:rPr>
        <w:t xml:space="preserve">The </w:t>
      </w:r>
      <w:r w:rsidR="003A7D7B">
        <w:rPr>
          <w:sz w:val="24"/>
          <w:szCs w:val="24"/>
        </w:rPr>
        <w:t>CCPW</w:t>
      </w:r>
      <w:r w:rsidR="008F6187">
        <w:rPr>
          <w:sz w:val="24"/>
          <w:szCs w:val="24"/>
        </w:rPr>
        <w:t xml:space="preserve"> event is developed, organis</w:t>
      </w:r>
      <w:r>
        <w:rPr>
          <w:sz w:val="24"/>
          <w:szCs w:val="24"/>
        </w:rPr>
        <w:t>ed and provided by the EMHSCA Workforce Development subcommittee with funding via annual contributions from EMHSCA member organisations.</w:t>
      </w:r>
    </w:p>
    <w:p w:rsidR="003C6DC8" w:rsidRDefault="003C6DC8" w:rsidP="003C6DC8">
      <w:pPr>
        <w:rPr>
          <w:sz w:val="24"/>
          <w:szCs w:val="24"/>
        </w:rPr>
      </w:pPr>
      <w:r>
        <w:rPr>
          <w:sz w:val="24"/>
          <w:szCs w:val="24"/>
        </w:rPr>
        <w:t>The committee consists of eleven members as follows: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323"/>
      </w:tblGrid>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Anna Makris</w:t>
            </w:r>
            <w:r w:rsidR="003A7D7B">
              <w:rPr>
                <w:rFonts w:ascii="Arial Narrow" w:hAnsi="Arial Narrow"/>
              </w:rPr>
              <w:t xml:space="preserve"> (</w:t>
            </w:r>
            <w:r w:rsidR="008A15D7">
              <w:rPr>
                <w:rFonts w:ascii="Arial Narrow" w:hAnsi="Arial Narrow"/>
              </w:rPr>
              <w:t>co-chair</w:t>
            </w:r>
            <w:r w:rsidR="003A7D7B">
              <w:rPr>
                <w:rFonts w:ascii="Arial Narrow" w:hAnsi="Arial Narrow"/>
              </w:rPr>
              <w:t>)</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 xml:space="preserve">Federal Dept. </w:t>
            </w:r>
            <w:r>
              <w:rPr>
                <w:rFonts w:ascii="Arial Narrow" w:hAnsi="Arial Narrow"/>
                <w:b/>
              </w:rPr>
              <w:t xml:space="preserve">of </w:t>
            </w:r>
            <w:r w:rsidRPr="002816B7">
              <w:rPr>
                <w:rFonts w:ascii="Arial Narrow" w:hAnsi="Arial Narrow"/>
                <w:b/>
              </w:rPr>
              <w:t>Human Services</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Aaron Jones</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Neami National</w:t>
            </w:r>
          </w:p>
        </w:tc>
      </w:tr>
      <w:tr w:rsidR="002A0D7C" w:rsidRPr="00837E89"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Bronwyn Williams (Project Officer)</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Health  Recovery Framework Implementation /EMHSCA/ Eastern Peer Support Network  projects</w:t>
            </w:r>
            <w:r w:rsidRPr="002816B7">
              <w:rPr>
                <w:rFonts w:ascii="Arial Narrow" w:hAnsi="Arial Narrow"/>
                <w:b/>
              </w:rPr>
              <w:t xml:space="preserve"> </w:t>
            </w:r>
          </w:p>
        </w:tc>
      </w:tr>
      <w:tr w:rsidR="002A0D7C" w:rsidTr="00DA29F3">
        <w:tc>
          <w:tcPr>
            <w:tcW w:w="4757" w:type="dxa"/>
            <w:vAlign w:val="center"/>
          </w:tcPr>
          <w:p w:rsidR="003A7D7B" w:rsidRDefault="003A7D7B" w:rsidP="00DA29F3">
            <w:pPr>
              <w:spacing w:before="240"/>
              <w:rPr>
                <w:rFonts w:ascii="Arial Narrow" w:hAnsi="Arial Narrow"/>
              </w:rPr>
            </w:pPr>
            <w:r>
              <w:rPr>
                <w:rFonts w:ascii="Arial Narrow" w:hAnsi="Arial Narrow"/>
              </w:rPr>
              <w:t>Cat Heal</w:t>
            </w:r>
          </w:p>
          <w:p w:rsidR="002A0D7C" w:rsidRPr="002A0D7C" w:rsidRDefault="00B1513B" w:rsidP="00DA29F3">
            <w:pPr>
              <w:spacing w:before="240"/>
              <w:rPr>
                <w:rFonts w:ascii="Arial Narrow" w:hAnsi="Arial Narrow"/>
              </w:rPr>
            </w:pPr>
            <w:r>
              <w:rPr>
                <w:rFonts w:ascii="Arial Narrow" w:hAnsi="Arial Narrow"/>
              </w:rPr>
              <w:t>Cat</w:t>
            </w:r>
            <w:r w:rsidR="003A7D7B">
              <w:rPr>
                <w:rFonts w:ascii="Arial Narrow" w:hAnsi="Arial Narrow"/>
              </w:rPr>
              <w:t>h</w:t>
            </w:r>
            <w:r>
              <w:rPr>
                <w:rFonts w:ascii="Arial Narrow" w:hAnsi="Arial Narrow"/>
              </w:rPr>
              <w:t>e</w:t>
            </w:r>
            <w:r w:rsidR="003A7D7B">
              <w:rPr>
                <w:rFonts w:ascii="Arial Narrow" w:hAnsi="Arial Narrow"/>
              </w:rPr>
              <w:t>rine Hudgson</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Health Older persons Alliance</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Corey Eastwood</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MIND PARC programs</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Jose Abalo</w:t>
            </w:r>
            <w:r w:rsidR="003A7D7B">
              <w:rPr>
                <w:rFonts w:ascii="Arial Narrow" w:hAnsi="Arial Narrow"/>
              </w:rPr>
              <w:t xml:space="preserve"> (</w:t>
            </w:r>
            <w:r w:rsidR="008A15D7">
              <w:rPr>
                <w:rFonts w:ascii="Arial Narrow" w:hAnsi="Arial Narrow"/>
              </w:rPr>
              <w:t>co-chair</w:t>
            </w:r>
            <w:r w:rsidR="003A7D7B">
              <w:rPr>
                <w:rFonts w:ascii="Arial Narrow" w:hAnsi="Arial Narrow"/>
              </w:rPr>
              <w:t>)</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 xml:space="preserve">Federal Dept. </w:t>
            </w:r>
            <w:r>
              <w:rPr>
                <w:rFonts w:ascii="Arial Narrow" w:hAnsi="Arial Narrow"/>
                <w:b/>
              </w:rPr>
              <w:t xml:space="preserve">of </w:t>
            </w:r>
            <w:r w:rsidRPr="002816B7">
              <w:rPr>
                <w:rFonts w:ascii="Arial Narrow" w:hAnsi="Arial Narrow"/>
                <w:b/>
              </w:rPr>
              <w:t>Human Services</w:t>
            </w:r>
          </w:p>
        </w:tc>
      </w:tr>
      <w:tr w:rsidR="002A0D7C" w:rsidRPr="00837E89"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Kim Moreland</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E</w:t>
            </w:r>
            <w:r>
              <w:rPr>
                <w:rFonts w:ascii="Arial Narrow" w:hAnsi="Arial Narrow"/>
                <w:b/>
              </w:rPr>
              <w:t xml:space="preserve">astern </w:t>
            </w:r>
            <w:r w:rsidRPr="002816B7">
              <w:rPr>
                <w:rFonts w:ascii="Arial Narrow" w:hAnsi="Arial Narrow"/>
                <w:b/>
              </w:rPr>
              <w:t>H</w:t>
            </w:r>
            <w:r>
              <w:rPr>
                <w:rFonts w:ascii="Arial Narrow" w:hAnsi="Arial Narrow"/>
                <w:b/>
              </w:rPr>
              <w:t xml:space="preserve">ealth Mental Health Practice Development </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Maria Yap</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Melbourne Primary Health Network</w:t>
            </w:r>
          </w:p>
        </w:tc>
      </w:tr>
      <w:tr w:rsidR="003A7D7B" w:rsidRPr="00837E89" w:rsidTr="00DA29F3">
        <w:tc>
          <w:tcPr>
            <w:tcW w:w="4757" w:type="dxa"/>
            <w:vAlign w:val="center"/>
          </w:tcPr>
          <w:p w:rsidR="003A7D7B" w:rsidRPr="002A0D7C" w:rsidRDefault="003A7D7B" w:rsidP="00E5654C">
            <w:pPr>
              <w:rPr>
                <w:rFonts w:ascii="Arial Narrow" w:hAnsi="Arial Narrow"/>
              </w:rPr>
            </w:pPr>
            <w:r>
              <w:rPr>
                <w:rFonts w:ascii="Arial Narrow" w:hAnsi="Arial Narrow"/>
              </w:rPr>
              <w:t>Pembrooke Werden</w:t>
            </w:r>
          </w:p>
        </w:tc>
        <w:tc>
          <w:tcPr>
            <w:tcW w:w="5323" w:type="dxa"/>
            <w:vAlign w:val="center"/>
          </w:tcPr>
          <w:p w:rsidR="003A7D7B" w:rsidRPr="002816B7" w:rsidRDefault="003A7D7B" w:rsidP="00E5654C">
            <w:pPr>
              <w:rPr>
                <w:rFonts w:ascii="Arial Narrow" w:hAnsi="Arial Narrow"/>
                <w:b/>
              </w:rPr>
            </w:pPr>
            <w:r>
              <w:rPr>
                <w:rFonts w:ascii="Arial Narrow" w:hAnsi="Arial Narrow"/>
                <w:b/>
              </w:rPr>
              <w:t xml:space="preserve">Uniting Care </w:t>
            </w:r>
            <w:r w:rsidRPr="002816B7">
              <w:rPr>
                <w:rFonts w:ascii="Arial Narrow" w:hAnsi="Arial Narrow"/>
                <w:b/>
              </w:rPr>
              <w:t>Prahran Mission</w:t>
            </w:r>
          </w:p>
        </w:tc>
      </w:tr>
      <w:tr w:rsidR="003A7D7B" w:rsidRPr="00837E89" w:rsidTr="00DA29F3">
        <w:tc>
          <w:tcPr>
            <w:tcW w:w="4757" w:type="dxa"/>
            <w:vAlign w:val="center"/>
          </w:tcPr>
          <w:p w:rsidR="003A7D7B" w:rsidRPr="002A0D7C" w:rsidRDefault="003A7D7B" w:rsidP="00E5654C">
            <w:pPr>
              <w:spacing w:before="240"/>
              <w:rPr>
                <w:rFonts w:ascii="Arial Narrow" w:hAnsi="Arial Narrow"/>
              </w:rPr>
            </w:pPr>
            <w:r>
              <w:rPr>
                <w:rFonts w:ascii="Arial Narrow" w:hAnsi="Arial Narrow"/>
              </w:rPr>
              <w:t>Sarah Kinstler</w:t>
            </w:r>
          </w:p>
        </w:tc>
        <w:tc>
          <w:tcPr>
            <w:tcW w:w="5323" w:type="dxa"/>
            <w:vAlign w:val="center"/>
          </w:tcPr>
          <w:p w:rsidR="003A7D7B" w:rsidRPr="002816B7" w:rsidRDefault="003A7D7B" w:rsidP="00E5654C">
            <w:pPr>
              <w:rPr>
                <w:rFonts w:ascii="Arial Narrow" w:hAnsi="Arial Narrow"/>
                <w:b/>
              </w:rPr>
            </w:pPr>
            <w:r>
              <w:rPr>
                <w:rFonts w:ascii="Arial Narrow" w:hAnsi="Arial Narrow"/>
                <w:b/>
              </w:rPr>
              <w:t>Wellways</w:t>
            </w:r>
          </w:p>
        </w:tc>
      </w:tr>
    </w:tbl>
    <w:p w:rsidR="009337D7" w:rsidRDefault="003C6DC8" w:rsidP="003C6DC8">
      <w:pPr>
        <w:rPr>
          <w:sz w:val="24"/>
          <w:szCs w:val="24"/>
        </w:rPr>
      </w:pPr>
      <w:r>
        <w:rPr>
          <w:sz w:val="24"/>
          <w:szCs w:val="24"/>
        </w:rPr>
        <w:t xml:space="preserve"> </w:t>
      </w:r>
    </w:p>
    <w:p w:rsidR="009337D7" w:rsidRDefault="003C6DC8" w:rsidP="009337D7">
      <w:pPr>
        <w:rPr>
          <w:sz w:val="24"/>
          <w:szCs w:val="24"/>
        </w:rPr>
      </w:pPr>
      <w:r>
        <w:rPr>
          <w:sz w:val="24"/>
          <w:szCs w:val="24"/>
        </w:rPr>
        <w:lastRenderedPageBreak/>
        <w:t>It is important to acknowledge the substantial contribution of these members and their teams to the success of the EMHSCA Workforce Development events each year. Thanks goes to EMHSCA member organisations for contributing in this way to improving Service Coordination across the EMR for the benefit of people with mental ill</w:t>
      </w:r>
      <w:r w:rsidR="008F6187">
        <w:rPr>
          <w:sz w:val="24"/>
          <w:szCs w:val="24"/>
        </w:rPr>
        <w:t xml:space="preserve"> health and co occurring issues</w:t>
      </w:r>
      <w:r w:rsidR="004B028C">
        <w:rPr>
          <w:sz w:val="24"/>
          <w:szCs w:val="24"/>
        </w:rPr>
        <w:t>.</w:t>
      </w:r>
    </w:p>
    <w:p w:rsidR="004B028C" w:rsidRPr="008F6187" w:rsidRDefault="004B028C" w:rsidP="009337D7">
      <w:pPr>
        <w:rPr>
          <w:sz w:val="24"/>
          <w:szCs w:val="24"/>
        </w:rPr>
      </w:pPr>
      <w:r>
        <w:rPr>
          <w:sz w:val="24"/>
          <w:szCs w:val="24"/>
        </w:rPr>
        <w:t>I would also like to acknowledge the City of Whitehorse who provided grant funding to support this event and also to Waverley Industries for their reliable and delicious catering.</w:t>
      </w:r>
    </w:p>
    <w:p w:rsidR="007F14AD" w:rsidRPr="000F03AA" w:rsidRDefault="000F03AA" w:rsidP="00AF702D">
      <w:pPr>
        <w:pStyle w:val="Heading1"/>
        <w:rPr>
          <w:rFonts w:asciiTheme="minorHAnsi" w:hAnsiTheme="minorHAnsi" w:cstheme="minorHAnsi"/>
          <w:b w:val="0"/>
          <w:color w:val="auto"/>
          <w:sz w:val="36"/>
          <w:szCs w:val="36"/>
        </w:rPr>
      </w:pPr>
      <w:r w:rsidRPr="000F03AA">
        <w:rPr>
          <w:rFonts w:asciiTheme="minorHAnsi" w:hAnsiTheme="minorHAnsi" w:cstheme="minorHAnsi"/>
          <w:b w:val="0"/>
          <w:color w:val="auto"/>
          <w:sz w:val="36"/>
          <w:szCs w:val="36"/>
        </w:rPr>
        <w:t>Attendance</w:t>
      </w:r>
    </w:p>
    <w:tbl>
      <w:tblPr>
        <w:tblW w:w="0" w:type="auto"/>
        <w:tblLayout w:type="fixed"/>
        <w:tblCellMar>
          <w:left w:w="30" w:type="dxa"/>
          <w:right w:w="30" w:type="dxa"/>
        </w:tblCellMar>
        <w:tblLook w:val="0000" w:firstRow="0" w:lastRow="0" w:firstColumn="0" w:lastColumn="0" w:noHBand="0" w:noVBand="0"/>
      </w:tblPr>
      <w:tblGrid>
        <w:gridCol w:w="2248"/>
        <w:gridCol w:w="1693"/>
      </w:tblGrid>
      <w:tr w:rsidR="00DA1206" w:rsidRPr="00DA1206" w:rsidTr="0072768C">
        <w:trPr>
          <w:trHeight w:val="303"/>
        </w:trPr>
        <w:tc>
          <w:tcPr>
            <w:tcW w:w="2248" w:type="dxa"/>
            <w:tcBorders>
              <w:top w:val="nil"/>
              <w:left w:val="nil"/>
              <w:bottom w:val="nil"/>
              <w:right w:val="nil"/>
            </w:tcBorders>
          </w:tcPr>
          <w:p w:rsidR="00DA1206" w:rsidRPr="00DA1206" w:rsidRDefault="00DA1206" w:rsidP="00DA1206">
            <w:pPr>
              <w:autoSpaceDE w:val="0"/>
              <w:autoSpaceDN w:val="0"/>
              <w:adjustRightInd w:val="0"/>
              <w:spacing w:after="0" w:line="240" w:lineRule="auto"/>
              <w:rPr>
                <w:rFonts w:ascii="Calibri Light" w:hAnsi="Calibri Light" w:cs="Calibri Light"/>
                <w:b/>
                <w:bCs/>
                <w:color w:val="000000"/>
              </w:rPr>
            </w:pPr>
            <w:r w:rsidRPr="00DA1206">
              <w:rPr>
                <w:rFonts w:ascii="Calibri Light" w:hAnsi="Calibri Light" w:cs="Calibri Light"/>
                <w:b/>
                <w:bCs/>
                <w:color w:val="000000"/>
              </w:rPr>
              <w:t xml:space="preserve">Total attendance </w:t>
            </w:r>
          </w:p>
        </w:tc>
        <w:tc>
          <w:tcPr>
            <w:tcW w:w="1693" w:type="dxa"/>
            <w:tcBorders>
              <w:top w:val="nil"/>
              <w:left w:val="nil"/>
              <w:bottom w:val="nil"/>
              <w:right w:val="nil"/>
            </w:tcBorders>
          </w:tcPr>
          <w:p w:rsidR="00DA1206" w:rsidRPr="00DA1206" w:rsidRDefault="0096003A" w:rsidP="001408BB">
            <w:pPr>
              <w:autoSpaceDE w:val="0"/>
              <w:autoSpaceDN w:val="0"/>
              <w:adjustRightInd w:val="0"/>
              <w:spacing w:after="0" w:line="240" w:lineRule="auto"/>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65</w:t>
            </w:r>
          </w:p>
        </w:tc>
      </w:tr>
      <w:tr w:rsidR="0072768C" w:rsidRPr="00DA1206" w:rsidTr="0072768C">
        <w:trPr>
          <w:trHeight w:val="303"/>
        </w:trPr>
        <w:tc>
          <w:tcPr>
            <w:tcW w:w="2248" w:type="dxa"/>
            <w:tcBorders>
              <w:top w:val="nil"/>
              <w:left w:val="nil"/>
              <w:bottom w:val="nil"/>
              <w:right w:val="nil"/>
            </w:tcBorders>
          </w:tcPr>
          <w:p w:rsidR="0072768C" w:rsidRPr="00DA1206" w:rsidRDefault="0072768C" w:rsidP="00DA120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b/>
                <w:bCs/>
                <w:color w:val="000000"/>
              </w:rPr>
              <w:t>Non-attendance</w:t>
            </w:r>
          </w:p>
        </w:tc>
        <w:tc>
          <w:tcPr>
            <w:tcW w:w="1693" w:type="dxa"/>
            <w:tcBorders>
              <w:top w:val="nil"/>
              <w:left w:val="nil"/>
              <w:bottom w:val="nil"/>
              <w:right w:val="nil"/>
            </w:tcBorders>
          </w:tcPr>
          <w:p w:rsidR="0072768C" w:rsidRDefault="0096003A" w:rsidP="001408BB">
            <w:pPr>
              <w:autoSpaceDE w:val="0"/>
              <w:autoSpaceDN w:val="0"/>
              <w:adjustRightInd w:val="0"/>
              <w:spacing w:after="0" w:line="240" w:lineRule="auto"/>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13</w:t>
            </w:r>
          </w:p>
        </w:tc>
      </w:tr>
    </w:tbl>
    <w:p w:rsidR="00EE7775" w:rsidRPr="001979ED" w:rsidRDefault="00EE7775">
      <w:pPr>
        <w:rPr>
          <w:sz w:val="24"/>
          <w:szCs w:val="24"/>
        </w:rPr>
      </w:pPr>
      <w:r>
        <w:rPr>
          <w:sz w:val="36"/>
          <w:szCs w:val="36"/>
        </w:rPr>
        <w:t>Attendance by sector</w:t>
      </w:r>
    </w:p>
    <w:tbl>
      <w:tblPr>
        <w:tblW w:w="0" w:type="auto"/>
        <w:tblLayout w:type="fixed"/>
        <w:tblCellMar>
          <w:left w:w="30" w:type="dxa"/>
          <w:right w:w="30" w:type="dxa"/>
        </w:tblCellMar>
        <w:tblLook w:val="0000" w:firstRow="0" w:lastRow="0" w:firstColumn="0" w:lastColumn="0" w:noHBand="0" w:noVBand="0"/>
      </w:tblPr>
      <w:tblGrid>
        <w:gridCol w:w="3007"/>
        <w:gridCol w:w="488"/>
      </w:tblGrid>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AOD</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C15B5E">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Clinical MH</w:t>
            </w:r>
          </w:p>
        </w:tc>
        <w:tc>
          <w:tcPr>
            <w:tcW w:w="488" w:type="dxa"/>
            <w:tcBorders>
              <w:top w:val="nil"/>
              <w:left w:val="nil"/>
              <w:bottom w:val="nil"/>
              <w:right w:val="nil"/>
            </w:tcBorders>
            <w:shd w:val="clear" w:color="auto" w:fill="auto"/>
          </w:tcPr>
          <w:p w:rsidR="00290F1F" w:rsidRPr="0072768C" w:rsidRDefault="003A7D7B" w:rsidP="001408BB">
            <w:pPr>
              <w:autoSpaceDE w:val="0"/>
              <w:autoSpaceDN w:val="0"/>
              <w:adjustRightInd w:val="0"/>
              <w:spacing w:after="0" w:line="240" w:lineRule="auto"/>
              <w:jc w:val="cente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  13</w:t>
            </w:r>
          </w:p>
        </w:tc>
      </w:tr>
      <w:tr w:rsidR="00290F1F" w:rsidRPr="00EE7775" w:rsidTr="0072768C">
        <w:trPr>
          <w:trHeight w:val="303"/>
        </w:trPr>
        <w:tc>
          <w:tcPr>
            <w:tcW w:w="3007" w:type="dxa"/>
            <w:tcBorders>
              <w:top w:val="nil"/>
              <w:left w:val="nil"/>
              <w:bottom w:val="nil"/>
              <w:right w:val="nil"/>
            </w:tcBorders>
          </w:tcPr>
          <w:p w:rsidR="00290F1F" w:rsidRPr="0072768C" w:rsidRDefault="003A7D7B"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Federal </w:t>
            </w:r>
            <w:r w:rsidR="00290F1F" w:rsidRPr="0072768C">
              <w:rPr>
                <w:rFonts w:ascii="Microsoft Sans Serif" w:hAnsi="Microsoft Sans Serif" w:cs="Microsoft Sans Serif"/>
                <w:color w:val="000000"/>
                <w:sz w:val="24"/>
                <w:szCs w:val="24"/>
              </w:rPr>
              <w:t>DHS</w:t>
            </w:r>
          </w:p>
        </w:tc>
        <w:tc>
          <w:tcPr>
            <w:tcW w:w="488" w:type="dxa"/>
            <w:tcBorders>
              <w:top w:val="nil"/>
              <w:left w:val="nil"/>
              <w:bottom w:val="nil"/>
              <w:right w:val="nil"/>
            </w:tcBorders>
            <w:shd w:val="clear" w:color="auto" w:fill="auto"/>
          </w:tcPr>
          <w:p w:rsidR="00290F1F" w:rsidRPr="0072768C" w:rsidRDefault="003A7D7B"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14</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Family Services</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0</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290F1F">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Homelessness</w:t>
            </w:r>
          </w:p>
        </w:tc>
        <w:tc>
          <w:tcPr>
            <w:tcW w:w="488" w:type="dxa"/>
            <w:tcBorders>
              <w:top w:val="nil"/>
              <w:left w:val="nil"/>
              <w:bottom w:val="nil"/>
              <w:right w:val="nil"/>
            </w:tcBorders>
            <w:shd w:val="clear" w:color="auto" w:fill="auto"/>
          </w:tcPr>
          <w:p w:rsidR="00290F1F" w:rsidRPr="0072768C" w:rsidRDefault="003A7D7B"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0</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Legal</w:t>
            </w:r>
          </w:p>
        </w:tc>
        <w:tc>
          <w:tcPr>
            <w:tcW w:w="488" w:type="dxa"/>
            <w:tcBorders>
              <w:top w:val="nil"/>
              <w:left w:val="nil"/>
              <w:bottom w:val="nil"/>
              <w:right w:val="nil"/>
            </w:tcBorders>
            <w:shd w:val="clear" w:color="auto" w:fill="auto"/>
          </w:tcPr>
          <w:p w:rsidR="00290F1F" w:rsidRDefault="00290F1F" w:rsidP="0072768C">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MHCSS</w:t>
            </w:r>
          </w:p>
        </w:tc>
        <w:tc>
          <w:tcPr>
            <w:tcW w:w="488" w:type="dxa"/>
            <w:tcBorders>
              <w:top w:val="nil"/>
              <w:left w:val="nil"/>
              <w:bottom w:val="nil"/>
              <w:right w:val="nil"/>
            </w:tcBorders>
            <w:shd w:val="clear" w:color="auto" w:fill="auto"/>
          </w:tcPr>
          <w:p w:rsidR="00290F1F" w:rsidRPr="0072768C" w:rsidRDefault="003A7D7B" w:rsidP="0072768C">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24</w:t>
            </w:r>
          </w:p>
        </w:tc>
      </w:tr>
      <w:tr w:rsidR="00290F1F" w:rsidRPr="00EE7775" w:rsidTr="0072768C">
        <w:trPr>
          <w:trHeight w:val="261"/>
        </w:trPr>
        <w:tc>
          <w:tcPr>
            <w:tcW w:w="3007" w:type="dxa"/>
            <w:tcBorders>
              <w:top w:val="nil"/>
              <w:left w:val="nil"/>
              <w:bottom w:val="nil"/>
              <w:right w:val="nil"/>
            </w:tcBorders>
          </w:tcPr>
          <w:p w:rsidR="00290F1F"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PHN</w:t>
            </w:r>
          </w:p>
        </w:tc>
        <w:tc>
          <w:tcPr>
            <w:tcW w:w="488" w:type="dxa"/>
            <w:tcBorders>
              <w:top w:val="nil"/>
              <w:left w:val="nil"/>
              <w:bottom w:val="nil"/>
              <w:right w:val="nil"/>
            </w:tcBorders>
            <w:shd w:val="clear" w:color="auto" w:fill="auto"/>
          </w:tcPr>
          <w:p w:rsidR="00290F1F" w:rsidRDefault="003A7D7B" w:rsidP="003A7D7B">
            <w:pPr>
              <w:autoSpaceDE w:val="0"/>
              <w:autoSpaceDN w:val="0"/>
              <w:adjustRightInd w:val="0"/>
              <w:spacing w:after="0" w:line="240" w:lineRule="auto"/>
              <w:jc w:val="cente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 0</w:t>
            </w:r>
          </w:p>
        </w:tc>
      </w:tr>
      <w:tr w:rsidR="00290F1F" w:rsidRPr="00EE7775" w:rsidTr="0072768C">
        <w:trPr>
          <w:trHeight w:val="261"/>
        </w:trPr>
        <w:tc>
          <w:tcPr>
            <w:tcW w:w="3007" w:type="dxa"/>
            <w:tcBorders>
              <w:top w:val="nil"/>
              <w:left w:val="nil"/>
              <w:bottom w:val="nil"/>
              <w:right w:val="nil"/>
            </w:tcBorders>
          </w:tcPr>
          <w:p w:rsidR="00290F1F"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Private Psych</w:t>
            </w:r>
          </w:p>
        </w:tc>
        <w:tc>
          <w:tcPr>
            <w:tcW w:w="488" w:type="dxa"/>
            <w:tcBorders>
              <w:top w:val="nil"/>
              <w:left w:val="nil"/>
              <w:bottom w:val="nil"/>
              <w:right w:val="nil"/>
            </w:tcBorders>
            <w:shd w:val="clear" w:color="auto" w:fill="auto"/>
          </w:tcPr>
          <w:p w:rsidR="00290F1F" w:rsidRDefault="003A7D7B"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2</w:t>
            </w:r>
          </w:p>
        </w:tc>
      </w:tr>
      <w:tr w:rsidR="003A7D7B" w:rsidRPr="00EE7775" w:rsidTr="0072768C">
        <w:trPr>
          <w:trHeight w:val="261"/>
        </w:trPr>
        <w:tc>
          <w:tcPr>
            <w:tcW w:w="3007" w:type="dxa"/>
            <w:tcBorders>
              <w:top w:val="nil"/>
              <w:left w:val="nil"/>
              <w:bottom w:val="nil"/>
              <w:right w:val="nil"/>
            </w:tcBorders>
          </w:tcPr>
          <w:p w:rsidR="003A7D7B" w:rsidRDefault="003A7D7B"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EDVOS</w:t>
            </w:r>
          </w:p>
        </w:tc>
        <w:tc>
          <w:tcPr>
            <w:tcW w:w="488" w:type="dxa"/>
            <w:tcBorders>
              <w:top w:val="nil"/>
              <w:left w:val="nil"/>
              <w:bottom w:val="nil"/>
              <w:right w:val="nil"/>
            </w:tcBorders>
            <w:shd w:val="clear" w:color="auto" w:fill="auto"/>
          </w:tcPr>
          <w:p w:rsidR="003A7D7B" w:rsidRDefault="003A7D7B"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3</w:t>
            </w:r>
          </w:p>
        </w:tc>
      </w:tr>
      <w:tr w:rsidR="003A7D7B" w:rsidRPr="00EE7775" w:rsidTr="0072768C">
        <w:trPr>
          <w:trHeight w:val="261"/>
        </w:trPr>
        <w:tc>
          <w:tcPr>
            <w:tcW w:w="3007" w:type="dxa"/>
            <w:tcBorders>
              <w:top w:val="nil"/>
              <w:left w:val="nil"/>
              <w:bottom w:val="nil"/>
              <w:right w:val="nil"/>
            </w:tcBorders>
          </w:tcPr>
          <w:p w:rsidR="003A7D7B" w:rsidRDefault="003A7D7B"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Other</w:t>
            </w:r>
          </w:p>
        </w:tc>
        <w:tc>
          <w:tcPr>
            <w:tcW w:w="488" w:type="dxa"/>
            <w:tcBorders>
              <w:top w:val="nil"/>
              <w:left w:val="nil"/>
              <w:bottom w:val="nil"/>
              <w:right w:val="nil"/>
            </w:tcBorders>
            <w:shd w:val="clear" w:color="auto" w:fill="auto"/>
          </w:tcPr>
          <w:p w:rsidR="003A7D7B" w:rsidRDefault="003A7D7B"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4</w:t>
            </w:r>
          </w:p>
        </w:tc>
      </w:tr>
    </w:tbl>
    <w:p w:rsidR="00C21551" w:rsidRPr="00DD55F9" w:rsidRDefault="003A7D7B">
      <w:pPr>
        <w:rPr>
          <w:sz w:val="24"/>
          <w:szCs w:val="24"/>
        </w:rPr>
      </w:pPr>
      <w:r w:rsidRPr="00DD55F9">
        <w:rPr>
          <w:sz w:val="24"/>
          <w:szCs w:val="24"/>
        </w:rPr>
        <w:t>Of those</w:t>
      </w:r>
      <w:r w:rsidR="00DD55F9" w:rsidRPr="00DD55F9">
        <w:rPr>
          <w:sz w:val="24"/>
          <w:szCs w:val="24"/>
        </w:rPr>
        <w:t xml:space="preserve"> identified as other 2 were from Morgan consulting, one from Anxiety Recovery Centre and 1 unidentified.</w:t>
      </w:r>
    </w:p>
    <w:p w:rsidR="00D16787" w:rsidRPr="000F03AA" w:rsidRDefault="00D16787">
      <w:pPr>
        <w:rPr>
          <w:sz w:val="36"/>
          <w:szCs w:val="36"/>
        </w:rPr>
      </w:pPr>
      <w:r w:rsidRPr="000F03AA">
        <w:rPr>
          <w:sz w:val="36"/>
          <w:szCs w:val="36"/>
        </w:rPr>
        <w:t>Budget</w:t>
      </w:r>
    </w:p>
    <w:p w:rsidR="00D16787" w:rsidRPr="00D16787" w:rsidRDefault="00D16787">
      <w:pPr>
        <w:rPr>
          <w:sz w:val="24"/>
          <w:szCs w:val="24"/>
        </w:rPr>
      </w:pPr>
      <w:r w:rsidRPr="00D16787">
        <w:rPr>
          <w:sz w:val="24"/>
          <w:szCs w:val="24"/>
        </w:rPr>
        <w:t xml:space="preserve">Catering </w:t>
      </w:r>
      <w:r w:rsidR="005C4C72" w:rsidRPr="005C4C72">
        <w:rPr>
          <w:sz w:val="24"/>
          <w:szCs w:val="24"/>
        </w:rPr>
        <w:t>$1,291.00</w:t>
      </w:r>
    </w:p>
    <w:p w:rsidR="00D16787" w:rsidRPr="0078683B" w:rsidRDefault="00D16787">
      <w:pPr>
        <w:rPr>
          <w:sz w:val="24"/>
          <w:szCs w:val="24"/>
        </w:rPr>
      </w:pPr>
      <w:r w:rsidRPr="00D16787">
        <w:rPr>
          <w:sz w:val="24"/>
          <w:szCs w:val="24"/>
        </w:rPr>
        <w:t>Venue $</w:t>
      </w:r>
      <w:r w:rsidR="005C4C72">
        <w:rPr>
          <w:sz w:val="24"/>
          <w:szCs w:val="24"/>
        </w:rPr>
        <w:t>413.50</w:t>
      </w:r>
      <w:r w:rsidR="0078683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3F218E" w:rsidRPr="00D16787" w:rsidRDefault="003F218E">
      <w:pPr>
        <w:rPr>
          <w:sz w:val="24"/>
          <w:szCs w:val="24"/>
        </w:rPr>
      </w:pPr>
      <w:r>
        <w:rPr>
          <w:sz w:val="24"/>
          <w:szCs w:val="24"/>
        </w:rPr>
        <w:t>Total: $</w:t>
      </w:r>
      <w:r w:rsidR="005C4C72">
        <w:rPr>
          <w:sz w:val="24"/>
          <w:szCs w:val="24"/>
        </w:rPr>
        <w:t>1703.50</w:t>
      </w:r>
    </w:p>
    <w:p w:rsidR="00D16787" w:rsidRDefault="00D16787" w:rsidP="00712336">
      <w:pPr>
        <w:spacing w:after="0" w:line="240" w:lineRule="auto"/>
        <w:rPr>
          <w:sz w:val="24"/>
          <w:szCs w:val="24"/>
        </w:rPr>
      </w:pPr>
      <w:r w:rsidRPr="00D16787">
        <w:rPr>
          <w:sz w:val="24"/>
          <w:szCs w:val="24"/>
        </w:rPr>
        <w:t>Plus in-kind support from EMHSCA organisations for printing and staffing</w:t>
      </w:r>
      <w:r w:rsidR="00B748ED">
        <w:rPr>
          <w:sz w:val="24"/>
          <w:szCs w:val="24"/>
        </w:rPr>
        <w:t>.</w:t>
      </w:r>
    </w:p>
    <w:p w:rsidR="00837348" w:rsidRDefault="00837348" w:rsidP="00712336">
      <w:pPr>
        <w:spacing w:after="0" w:line="240" w:lineRule="auto"/>
        <w:rPr>
          <w:sz w:val="24"/>
          <w:szCs w:val="24"/>
        </w:rPr>
      </w:pPr>
      <w:r>
        <w:rPr>
          <w:sz w:val="24"/>
          <w:szCs w:val="24"/>
        </w:rPr>
        <w:t>The City of Whitehorse provided a grant that reduced the venue hire by half.</w:t>
      </w:r>
    </w:p>
    <w:p w:rsidR="00B748ED" w:rsidRDefault="00B748ED" w:rsidP="00712336">
      <w:pPr>
        <w:spacing w:after="0" w:line="240" w:lineRule="auto"/>
        <w:rPr>
          <w:sz w:val="24"/>
          <w:szCs w:val="24"/>
        </w:rPr>
      </w:pPr>
      <w:r>
        <w:rPr>
          <w:sz w:val="24"/>
          <w:szCs w:val="24"/>
        </w:rPr>
        <w:t xml:space="preserve">This event </w:t>
      </w:r>
      <w:r w:rsidR="008F6187">
        <w:rPr>
          <w:sz w:val="24"/>
          <w:szCs w:val="24"/>
        </w:rPr>
        <w:t>was within budget</w:t>
      </w:r>
      <w:r>
        <w:rPr>
          <w:sz w:val="24"/>
          <w:szCs w:val="24"/>
        </w:rPr>
        <w:t xml:space="preserve">. </w:t>
      </w:r>
    </w:p>
    <w:p w:rsidR="000F03AA" w:rsidRDefault="000F03AA" w:rsidP="009825D6">
      <w:pPr>
        <w:rPr>
          <w:sz w:val="36"/>
          <w:szCs w:val="36"/>
        </w:rPr>
      </w:pPr>
      <w:r w:rsidRPr="000F03AA">
        <w:rPr>
          <w:sz w:val="36"/>
          <w:szCs w:val="36"/>
        </w:rPr>
        <w:t>Conclusion</w:t>
      </w:r>
    </w:p>
    <w:p w:rsidR="00712336" w:rsidRPr="00712336" w:rsidRDefault="005C4C72" w:rsidP="009825D6">
      <w:pPr>
        <w:rPr>
          <w:sz w:val="24"/>
          <w:szCs w:val="24"/>
        </w:rPr>
      </w:pPr>
      <w:r>
        <w:rPr>
          <w:sz w:val="24"/>
          <w:szCs w:val="24"/>
        </w:rPr>
        <w:t xml:space="preserve">This is event provides a unique opportunity for staff from a range of health and community services in the region to network and improve shared care practices. The event provides some practical information about </w:t>
      </w:r>
      <w:r>
        <w:rPr>
          <w:sz w:val="24"/>
          <w:szCs w:val="24"/>
        </w:rPr>
        <w:lastRenderedPageBreak/>
        <w:t xml:space="preserve">how to most effectively collaborate with various cohorts and explores the key challenges to working according to the Personal Recovery focussed, person centric model that is required of mental </w:t>
      </w:r>
      <w:r w:rsidR="008A15D7">
        <w:rPr>
          <w:sz w:val="24"/>
          <w:szCs w:val="24"/>
        </w:rPr>
        <w:t>health</w:t>
      </w:r>
      <w:r>
        <w:rPr>
          <w:sz w:val="24"/>
          <w:szCs w:val="24"/>
        </w:rPr>
        <w:t xml:space="preserve"> and associated services in 2017.</w:t>
      </w:r>
      <w:r w:rsidR="00712336">
        <w:rPr>
          <w:sz w:val="24"/>
          <w:szCs w:val="24"/>
        </w:rPr>
        <w:t xml:space="preserve"> </w:t>
      </w:r>
      <w:r>
        <w:rPr>
          <w:sz w:val="24"/>
          <w:szCs w:val="24"/>
        </w:rPr>
        <w:t xml:space="preserve">As the region approaches the introduction of NDIS these </w:t>
      </w:r>
      <w:r w:rsidR="008A15D7">
        <w:rPr>
          <w:sz w:val="24"/>
          <w:szCs w:val="24"/>
        </w:rPr>
        <w:t>collaborative</w:t>
      </w:r>
      <w:r>
        <w:rPr>
          <w:sz w:val="24"/>
          <w:szCs w:val="24"/>
        </w:rPr>
        <w:t xml:space="preserve"> practices will be challenged and the CCPW provides an ongoing forum for staff to define and redefine their roles to keep pace with the reforms.</w:t>
      </w:r>
    </w:p>
    <w:sectPr w:rsidR="00712336" w:rsidRPr="00712336" w:rsidSect="00C21551">
      <w:headerReference w:type="default" r:id="rId9"/>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F3" w:rsidRDefault="00DA29F3" w:rsidP="00C21551">
      <w:pPr>
        <w:spacing w:after="0" w:line="240" w:lineRule="auto"/>
      </w:pPr>
      <w:r>
        <w:separator/>
      </w:r>
    </w:p>
  </w:endnote>
  <w:endnote w:type="continuationSeparator" w:id="0">
    <w:p w:rsidR="00DA29F3" w:rsidRDefault="00DA29F3" w:rsidP="00C2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F3" w:rsidRDefault="00DA29F3" w:rsidP="00C21551">
      <w:pPr>
        <w:spacing w:after="0" w:line="240" w:lineRule="auto"/>
      </w:pPr>
      <w:r>
        <w:separator/>
      </w:r>
    </w:p>
  </w:footnote>
  <w:footnote w:type="continuationSeparator" w:id="0">
    <w:p w:rsidR="00DA29F3" w:rsidRDefault="00DA29F3" w:rsidP="00C2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F3" w:rsidRPr="0078683B" w:rsidRDefault="00DA29F3" w:rsidP="00BD5FE6">
    <w:pPr>
      <w:pStyle w:val="Header"/>
      <w:rPr>
        <w:b/>
        <w:color w:val="C00000"/>
        <w:sz w:val="72"/>
        <w:szCs w:val="72"/>
      </w:rPr>
    </w:pPr>
    <w:r w:rsidRPr="00847890">
      <w:rPr>
        <w:noProof/>
        <w:sz w:val="72"/>
        <w:szCs w:val="72"/>
        <w:lang w:eastAsia="en-AU"/>
      </w:rPr>
      <mc:AlternateContent>
        <mc:Choice Requires="wps">
          <w:drawing>
            <wp:anchor distT="0" distB="0" distL="114300" distR="114300" simplePos="0" relativeHeight="251661312" behindDoc="0" locked="0" layoutInCell="1" allowOverlap="1" wp14:anchorId="66FD0F65" wp14:editId="154478E6">
              <wp:simplePos x="0" y="0"/>
              <wp:positionH relativeFrom="column">
                <wp:posOffset>433589</wp:posOffset>
              </wp:positionH>
              <wp:positionV relativeFrom="paragraph">
                <wp:posOffset>172258</wp:posOffset>
              </wp:positionV>
              <wp:extent cx="8255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17500"/>
                      </a:xfrm>
                      <a:prstGeom prst="rect">
                        <a:avLst/>
                      </a:prstGeom>
                      <a:solidFill>
                        <a:srgbClr val="FFFFFF"/>
                      </a:solidFill>
                      <a:ln w="9525">
                        <a:noFill/>
                        <a:miter lim="800000"/>
                        <a:headEnd/>
                        <a:tailEnd/>
                      </a:ln>
                    </wps:spPr>
                    <wps:txbx>
                      <w:txbxContent>
                        <w:p w:rsidR="00DA29F3" w:rsidRPr="00BD5FE6" w:rsidRDefault="00DA29F3">
                          <w:pPr>
                            <w:rPr>
                              <w:b/>
                              <w:sz w:val="24"/>
                              <w:szCs w:val="24"/>
                            </w:rPr>
                          </w:pPr>
                          <w:r w:rsidRPr="00BD5FE6">
                            <w:rPr>
                              <w:b/>
                              <w:sz w:val="24"/>
                              <w:szCs w:val="24"/>
                            </w:rPr>
                            <w:t>EMHSCA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5pt;margin-top:13.55pt;width:6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" stroked="f">
              <v:textbox>
                <w:txbxContent>
                  <w:p w:rsidR="00DA29F3" w:rsidRPr="00BD5FE6" w:rsidRDefault="00DA29F3">
                    <w:pPr>
                      <w:rPr>
                        <w:b/>
                        <w:sz w:val="24"/>
                        <w:szCs w:val="24"/>
                      </w:rPr>
                    </w:pPr>
                    <w:r w:rsidRPr="00BD5FE6">
                      <w:rPr>
                        <w:b/>
                        <w:sz w:val="24"/>
                        <w:szCs w:val="24"/>
                      </w:rPr>
                      <w:t>EMHSCA</w:t>
                    </w:r>
                  </w:p>
                </w:txbxContent>
              </v:textbox>
            </v:shape>
          </w:pict>
        </mc:Fallback>
      </mc:AlternateContent>
    </w:r>
    <w:r w:rsidRPr="00847890">
      <w:rPr>
        <w:noProof/>
        <w:sz w:val="72"/>
        <w:szCs w:val="72"/>
        <w:lang w:eastAsia="en-AU"/>
      </w:rPr>
      <w:drawing>
        <wp:anchor distT="0" distB="0" distL="114300" distR="114300" simplePos="0" relativeHeight="251659264" behindDoc="0" locked="0" layoutInCell="1" allowOverlap="1" wp14:anchorId="45DD062F" wp14:editId="4B431157">
          <wp:simplePos x="0" y="0"/>
          <wp:positionH relativeFrom="column">
            <wp:posOffset>4445</wp:posOffset>
          </wp:positionH>
          <wp:positionV relativeFrom="paragraph">
            <wp:posOffset>-324485</wp:posOffset>
          </wp:positionV>
          <wp:extent cx="1249680" cy="681990"/>
          <wp:effectExtent l="0" t="0" r="762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9680" cy="68199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0" locked="0" layoutInCell="1" allowOverlap="1" wp14:anchorId="2FABE987" wp14:editId="712AAA38">
          <wp:simplePos x="0" y="0"/>
          <wp:positionH relativeFrom="column">
            <wp:posOffset>5991860</wp:posOffset>
          </wp:positionH>
          <wp:positionV relativeFrom="paragraph">
            <wp:posOffset>-315595</wp:posOffset>
          </wp:positionV>
          <wp:extent cx="679450" cy="1095375"/>
          <wp:effectExtent l="0" t="0" r="6350" b="9525"/>
          <wp:wrapNone/>
          <wp:docPr id="28" name="Picture 2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9450" cy="1095375"/>
                  </a:xfrm>
                  <a:prstGeom prst="rect">
                    <a:avLst/>
                  </a:prstGeom>
                  <a:noFill/>
                </pic:spPr>
              </pic:pic>
            </a:graphicData>
          </a:graphic>
          <wp14:sizeRelH relativeFrom="page">
            <wp14:pctWidth>0</wp14:pctWidth>
          </wp14:sizeRelH>
          <wp14:sizeRelV relativeFrom="page">
            <wp14:pctHeight>0</wp14:pctHeight>
          </wp14:sizeRelV>
        </wp:anchor>
      </w:drawing>
    </w:r>
    <w:r w:rsidR="0078683B">
      <w:rPr>
        <w:b/>
        <w:color w:val="C00000"/>
        <w:sz w:val="72"/>
        <w:szCs w:val="72"/>
      </w:rPr>
      <w:t xml:space="preserve"> </w:t>
    </w:r>
  </w:p>
  <w:p w:rsidR="00DA29F3" w:rsidRPr="00DA29F3" w:rsidRDefault="00DA29F3" w:rsidP="00BD5FE6">
    <w:pPr>
      <w:pStyle w:val="Header"/>
    </w:pPr>
    <w:r>
      <w:t xml:space="preserve"> </w:t>
    </w:r>
    <w:r w:rsidRPr="001979ED">
      <w:t>“Creating opportunities to work strategically across the region with Multi- Sectoral partners”</w:t>
    </w:r>
  </w:p>
  <w:p w:rsidR="00DA29F3" w:rsidRDefault="00DA2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A2"/>
    <w:multiLevelType w:val="hybridMultilevel"/>
    <w:tmpl w:val="428C6BC8"/>
    <w:lvl w:ilvl="0" w:tplc="72ACCD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A82223"/>
    <w:multiLevelType w:val="hybridMultilevel"/>
    <w:tmpl w:val="873696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D52B1F"/>
    <w:multiLevelType w:val="hybridMultilevel"/>
    <w:tmpl w:val="DC10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77"/>
    <w:rsid w:val="000A0494"/>
    <w:rsid w:val="000D1E4A"/>
    <w:rsid w:val="000F03AA"/>
    <w:rsid w:val="0013579D"/>
    <w:rsid w:val="001408BB"/>
    <w:rsid w:val="0019236C"/>
    <w:rsid w:val="001979ED"/>
    <w:rsid w:val="001B21CA"/>
    <w:rsid w:val="001D187A"/>
    <w:rsid w:val="002816B7"/>
    <w:rsid w:val="00290F1F"/>
    <w:rsid w:val="002A0D7C"/>
    <w:rsid w:val="002A223A"/>
    <w:rsid w:val="002B77D8"/>
    <w:rsid w:val="002D2864"/>
    <w:rsid w:val="002F6AB9"/>
    <w:rsid w:val="00306681"/>
    <w:rsid w:val="003A4928"/>
    <w:rsid w:val="003A7D7B"/>
    <w:rsid w:val="003C3418"/>
    <w:rsid w:val="003C6DC8"/>
    <w:rsid w:val="003F218E"/>
    <w:rsid w:val="004255D5"/>
    <w:rsid w:val="00452EFB"/>
    <w:rsid w:val="00464177"/>
    <w:rsid w:val="00474814"/>
    <w:rsid w:val="00493877"/>
    <w:rsid w:val="004B028C"/>
    <w:rsid w:val="00506F77"/>
    <w:rsid w:val="00515379"/>
    <w:rsid w:val="00517E82"/>
    <w:rsid w:val="00542228"/>
    <w:rsid w:val="005463E6"/>
    <w:rsid w:val="005C4C72"/>
    <w:rsid w:val="005C7D2F"/>
    <w:rsid w:val="006063D4"/>
    <w:rsid w:val="00611930"/>
    <w:rsid w:val="0064573A"/>
    <w:rsid w:val="00656AE3"/>
    <w:rsid w:val="00681770"/>
    <w:rsid w:val="00697D78"/>
    <w:rsid w:val="006B67EE"/>
    <w:rsid w:val="00712336"/>
    <w:rsid w:val="00715B4D"/>
    <w:rsid w:val="00720B04"/>
    <w:rsid w:val="007272B7"/>
    <w:rsid w:val="0072768C"/>
    <w:rsid w:val="00750CCA"/>
    <w:rsid w:val="0078683B"/>
    <w:rsid w:val="00795176"/>
    <w:rsid w:val="007B5F28"/>
    <w:rsid w:val="007F14AD"/>
    <w:rsid w:val="008132CE"/>
    <w:rsid w:val="00837348"/>
    <w:rsid w:val="00847890"/>
    <w:rsid w:val="008A15D7"/>
    <w:rsid w:val="008D2B07"/>
    <w:rsid w:val="008F0732"/>
    <w:rsid w:val="008F6187"/>
    <w:rsid w:val="009337D7"/>
    <w:rsid w:val="00941999"/>
    <w:rsid w:val="0096003A"/>
    <w:rsid w:val="00981BDF"/>
    <w:rsid w:val="009825D6"/>
    <w:rsid w:val="0099213A"/>
    <w:rsid w:val="00A15B93"/>
    <w:rsid w:val="00A26F20"/>
    <w:rsid w:val="00A32D91"/>
    <w:rsid w:val="00AA5240"/>
    <w:rsid w:val="00AF702D"/>
    <w:rsid w:val="00B1513B"/>
    <w:rsid w:val="00B46DE4"/>
    <w:rsid w:val="00B748ED"/>
    <w:rsid w:val="00B83AA6"/>
    <w:rsid w:val="00BC5675"/>
    <w:rsid w:val="00BD5FE6"/>
    <w:rsid w:val="00BF104B"/>
    <w:rsid w:val="00BF7BF7"/>
    <w:rsid w:val="00C15B5E"/>
    <w:rsid w:val="00C21551"/>
    <w:rsid w:val="00C30AA6"/>
    <w:rsid w:val="00C31B42"/>
    <w:rsid w:val="00C41C80"/>
    <w:rsid w:val="00C6582E"/>
    <w:rsid w:val="00CB603B"/>
    <w:rsid w:val="00D16787"/>
    <w:rsid w:val="00D44910"/>
    <w:rsid w:val="00D65555"/>
    <w:rsid w:val="00DA1206"/>
    <w:rsid w:val="00DA29F3"/>
    <w:rsid w:val="00DD55F9"/>
    <w:rsid w:val="00E23ACA"/>
    <w:rsid w:val="00E67C3C"/>
    <w:rsid w:val="00E83F69"/>
    <w:rsid w:val="00EE7775"/>
    <w:rsid w:val="00F0217E"/>
    <w:rsid w:val="00F6110D"/>
    <w:rsid w:val="00F63BE3"/>
    <w:rsid w:val="00F93EC7"/>
    <w:rsid w:val="00FF3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9"/>
    <w:rPr>
      <w:rFonts w:ascii="Tahoma" w:hAnsi="Tahoma" w:cs="Tahoma"/>
      <w:sz w:val="16"/>
      <w:szCs w:val="16"/>
    </w:rPr>
  </w:style>
  <w:style w:type="paragraph" w:styleId="Header">
    <w:name w:val="header"/>
    <w:basedOn w:val="Normal"/>
    <w:link w:val="HeaderChar"/>
    <w:uiPriority w:val="99"/>
    <w:unhideWhenUsed/>
    <w:rsid w:val="00C2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551"/>
  </w:style>
  <w:style w:type="paragraph" w:styleId="Footer">
    <w:name w:val="footer"/>
    <w:basedOn w:val="Normal"/>
    <w:link w:val="FooterChar"/>
    <w:uiPriority w:val="99"/>
    <w:unhideWhenUsed/>
    <w:rsid w:val="00C2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551"/>
  </w:style>
  <w:style w:type="character" w:customStyle="1" w:styleId="Heading1Char">
    <w:name w:val="Heading 1 Char"/>
    <w:basedOn w:val="DefaultParagraphFont"/>
    <w:link w:val="Heading1"/>
    <w:uiPriority w:val="9"/>
    <w:rsid w:val="00AF70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1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9"/>
    <w:rPr>
      <w:rFonts w:ascii="Tahoma" w:hAnsi="Tahoma" w:cs="Tahoma"/>
      <w:sz w:val="16"/>
      <w:szCs w:val="16"/>
    </w:rPr>
  </w:style>
  <w:style w:type="paragraph" w:styleId="Header">
    <w:name w:val="header"/>
    <w:basedOn w:val="Normal"/>
    <w:link w:val="HeaderChar"/>
    <w:uiPriority w:val="99"/>
    <w:unhideWhenUsed/>
    <w:rsid w:val="00C2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551"/>
  </w:style>
  <w:style w:type="paragraph" w:styleId="Footer">
    <w:name w:val="footer"/>
    <w:basedOn w:val="Normal"/>
    <w:link w:val="FooterChar"/>
    <w:uiPriority w:val="99"/>
    <w:unhideWhenUsed/>
    <w:rsid w:val="00C2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551"/>
  </w:style>
  <w:style w:type="character" w:customStyle="1" w:styleId="Heading1Char">
    <w:name w:val="Heading 1 Char"/>
    <w:basedOn w:val="DefaultParagraphFont"/>
    <w:link w:val="Heading1"/>
    <w:uiPriority w:val="9"/>
    <w:rsid w:val="00AF70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Bronwyn</dc:creator>
  <cp:lastModifiedBy>Williams, Bronwyn</cp:lastModifiedBy>
  <cp:revision>18</cp:revision>
  <cp:lastPrinted>2017-04-28T03:09:00Z</cp:lastPrinted>
  <dcterms:created xsi:type="dcterms:W3CDTF">2016-10-20T03:37:00Z</dcterms:created>
  <dcterms:modified xsi:type="dcterms:W3CDTF">2017-04-28T03:12:00Z</dcterms:modified>
</cp:coreProperties>
</file>