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61" w:rsidRPr="00443B02" w:rsidRDefault="00DB4761" w:rsidP="00DB4761">
      <w:pPr>
        <w:rPr>
          <w:rFonts w:ascii="Calibri" w:hAnsi="Calibri"/>
          <w:b/>
        </w:rPr>
      </w:pPr>
      <w:r>
        <w:rPr>
          <w:noProof/>
        </w:rPr>
        <w:drawing>
          <wp:inline distT="0" distB="0" distL="0" distR="0">
            <wp:extent cx="2152650" cy="600075"/>
            <wp:effectExtent l="0" t="0" r="0" b="0"/>
            <wp:docPr id="2" name="Picture 1" descr="cid:image001.png@01D7DF78.6AFF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F78.6AFF13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p w:rsidR="00811106" w:rsidRPr="00443B02" w:rsidRDefault="00811106" w:rsidP="00DB4761">
      <w:pPr>
        <w:rPr>
          <w:rFonts w:ascii="Calibri" w:hAnsi="Calibri"/>
        </w:rPr>
      </w:pPr>
      <w:r w:rsidRPr="00443B02">
        <w:rPr>
          <w:rFonts w:ascii="Calibri" w:hAnsi="Calibri"/>
          <w:b/>
        </w:rPr>
        <w:t>Title</w:t>
      </w: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0406"/>
      </w:tblGrid>
      <w:tr w:rsidR="00811106" w:rsidRPr="00443B02" w:rsidTr="00A76942">
        <w:trPr>
          <w:trHeight w:val="404"/>
        </w:trPr>
        <w:tc>
          <w:tcPr>
            <w:tcW w:w="10406" w:type="dxa"/>
          </w:tcPr>
          <w:p w:rsidR="00811106" w:rsidRPr="00443B02" w:rsidRDefault="006F7EB0" w:rsidP="004E32FD">
            <w:pPr>
              <w:rPr>
                <w:rFonts w:ascii="Calibri" w:hAnsi="Calibri"/>
              </w:rPr>
            </w:pPr>
            <w:r w:rsidRPr="008B1033">
              <w:rPr>
                <w:rFonts w:ascii="Calibri" w:hAnsi="Calibri"/>
              </w:rPr>
              <w:t>Procurement Complaint Management Guideline</w:t>
            </w:r>
          </w:p>
        </w:tc>
      </w:tr>
    </w:tbl>
    <w:p w:rsidR="00A76942" w:rsidRDefault="00A76942" w:rsidP="00A76942">
      <w:pPr>
        <w:ind w:left="360"/>
        <w:rPr>
          <w:rFonts w:ascii="Calibri" w:hAnsi="Calibri"/>
          <w:b/>
          <w:iCs/>
          <w:u w:val="single"/>
        </w:rPr>
      </w:pPr>
      <w:r w:rsidRPr="00533C7C">
        <w:rPr>
          <w:rFonts w:ascii="Calibri" w:hAnsi="Calibri"/>
          <w:b/>
          <w:iCs/>
          <w:u w:val="single"/>
        </w:rPr>
        <w:t xml:space="preserve">REMINDER: Charter of Human Rights and Responsibilities Act 2006 – All those involved in decisions based on a policy/ guideline have an obligation to ensure that all decisions and actions are compatible with relevant human rights and reflected within the policy document.  </w:t>
      </w:r>
    </w:p>
    <w:p w:rsidR="00A76942" w:rsidRDefault="00A76942" w:rsidP="00A76942">
      <w:pPr>
        <w:keepNext/>
        <w:ind w:left="357"/>
        <w:rPr>
          <w:rFonts w:ascii="Calibri" w:hAnsi="Calibri"/>
          <w:b/>
        </w:rPr>
      </w:pPr>
    </w:p>
    <w:p w:rsidR="00AC6128" w:rsidRPr="00443B02" w:rsidRDefault="00AC6128" w:rsidP="00240FDA">
      <w:pPr>
        <w:keepNext/>
        <w:numPr>
          <w:ilvl w:val="0"/>
          <w:numId w:val="9"/>
        </w:numPr>
        <w:ind w:left="357" w:hanging="357"/>
        <w:rPr>
          <w:rFonts w:ascii="Calibri" w:hAnsi="Calibri"/>
          <w:b/>
        </w:rPr>
      </w:pPr>
      <w:r w:rsidRPr="00443B02">
        <w:rPr>
          <w:rFonts w:ascii="Calibri" w:hAnsi="Calibri"/>
          <w:b/>
        </w:rPr>
        <w:t>Context</w:t>
      </w:r>
    </w:p>
    <w:p w:rsidR="00AC6128" w:rsidRPr="00443B02" w:rsidRDefault="006F7EB0" w:rsidP="00AC6128">
      <w:pPr>
        <w:rPr>
          <w:rFonts w:ascii="Calibri" w:hAnsi="Calibri"/>
        </w:rPr>
      </w:pPr>
      <w:r w:rsidRPr="00EF5F3E">
        <w:rPr>
          <w:rFonts w:ascii="Calibri" w:hAnsi="Calibri"/>
        </w:rPr>
        <w:t xml:space="preserve">This guideline </w:t>
      </w:r>
      <w:r>
        <w:rPr>
          <w:rFonts w:ascii="Calibri" w:hAnsi="Calibri"/>
        </w:rPr>
        <w:t xml:space="preserve">sets out the process </w:t>
      </w:r>
      <w:r w:rsidRPr="00EF5F3E">
        <w:rPr>
          <w:rFonts w:ascii="Calibri" w:hAnsi="Calibri"/>
        </w:rPr>
        <w:t>for relevant staff to manage complaints from suppliers regarding the procurement process at Eastern Health, in line with the Supplier Management Standard</w:t>
      </w:r>
      <w:r>
        <w:rPr>
          <w:rFonts w:ascii="Calibri" w:hAnsi="Calibri"/>
        </w:rPr>
        <w:t>.</w:t>
      </w:r>
    </w:p>
    <w:p w:rsidR="00C529A6" w:rsidRPr="00443B02" w:rsidRDefault="00E4142E" w:rsidP="00240FDA">
      <w:pPr>
        <w:keepNext/>
        <w:numPr>
          <w:ilvl w:val="0"/>
          <w:numId w:val="9"/>
        </w:numPr>
        <w:ind w:left="357" w:hanging="357"/>
        <w:rPr>
          <w:rFonts w:ascii="Calibri" w:hAnsi="Calibri"/>
          <w:b/>
        </w:rPr>
      </w:pPr>
      <w:r w:rsidRPr="00443B02">
        <w:rPr>
          <w:rFonts w:ascii="Calibri" w:hAnsi="Calibri"/>
          <w:b/>
        </w:rPr>
        <w:t>Definition</w:t>
      </w:r>
      <w:r w:rsidR="00C529A6" w:rsidRPr="00443B02">
        <w:rPr>
          <w:rFonts w:ascii="Calibri" w:hAnsi="Calibri"/>
          <w:b/>
        </w:rPr>
        <w:t xml:space="preserve">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937"/>
      </w:tblGrid>
      <w:tr w:rsidR="00FA0C04" w:rsidRPr="009C2FC5" w:rsidTr="00DB2161">
        <w:tc>
          <w:tcPr>
            <w:tcW w:w="1526" w:type="dxa"/>
            <w:shd w:val="clear" w:color="auto" w:fill="auto"/>
          </w:tcPr>
          <w:p w:rsidR="00FA0C04" w:rsidRPr="009C2FC5" w:rsidRDefault="00FA0C04" w:rsidP="00DB2161">
            <w:pPr>
              <w:rPr>
                <w:rFonts w:ascii="Calibri" w:hAnsi="Calibri"/>
              </w:rPr>
            </w:pPr>
            <w:r>
              <w:rPr>
                <w:rFonts w:ascii="Calibri" w:hAnsi="Calibri"/>
              </w:rPr>
              <w:t>A</w:t>
            </w:r>
            <w:r w:rsidRPr="00FB5E92">
              <w:rPr>
                <w:rFonts w:ascii="Calibri" w:hAnsi="Calibri"/>
              </w:rPr>
              <w:t>uthorised officer</w:t>
            </w:r>
            <w:r>
              <w:rPr>
                <w:rFonts w:ascii="Calibri" w:hAnsi="Calibri"/>
              </w:rPr>
              <w:t xml:space="preserve"> </w:t>
            </w:r>
          </w:p>
        </w:tc>
        <w:tc>
          <w:tcPr>
            <w:tcW w:w="9156" w:type="dxa"/>
            <w:shd w:val="clear" w:color="auto" w:fill="auto"/>
          </w:tcPr>
          <w:p w:rsidR="00FA0C04" w:rsidRPr="009C2FC5" w:rsidRDefault="00FA0C04" w:rsidP="00DB2161">
            <w:pPr>
              <w:rPr>
                <w:rFonts w:ascii="Calibri" w:hAnsi="Calibri"/>
              </w:rPr>
            </w:pPr>
            <w:r>
              <w:rPr>
                <w:rFonts w:ascii="Calibri" w:hAnsi="Calibri"/>
              </w:rPr>
              <w:t>The person designated in an ‘Invitation to Supply’ document as the Eastern Health contact for information about the tender.</w:t>
            </w:r>
          </w:p>
        </w:tc>
      </w:tr>
      <w:tr w:rsidR="00FA0C04" w:rsidRPr="009C2FC5" w:rsidTr="00DB2161">
        <w:tc>
          <w:tcPr>
            <w:tcW w:w="1526" w:type="dxa"/>
            <w:shd w:val="clear" w:color="auto" w:fill="auto"/>
          </w:tcPr>
          <w:p w:rsidR="00FA0C04" w:rsidRPr="009C2FC5" w:rsidRDefault="00FA0C04" w:rsidP="00DB2161">
            <w:pPr>
              <w:rPr>
                <w:rFonts w:ascii="Calibri" w:hAnsi="Calibri"/>
              </w:rPr>
            </w:pPr>
            <w:r w:rsidRPr="000F274F">
              <w:rPr>
                <w:rFonts w:asciiTheme="minorHAnsi" w:hAnsiTheme="minorHAnsi" w:cs="Calibri"/>
              </w:rPr>
              <w:t>Modern Slavery</w:t>
            </w:r>
          </w:p>
        </w:tc>
        <w:tc>
          <w:tcPr>
            <w:tcW w:w="9156" w:type="dxa"/>
            <w:shd w:val="clear" w:color="auto" w:fill="auto"/>
          </w:tcPr>
          <w:p w:rsidR="00FA0C04" w:rsidRPr="009C2FC5" w:rsidRDefault="00FA0C04" w:rsidP="00DB2161">
            <w:pPr>
              <w:rPr>
                <w:rFonts w:ascii="Calibri" w:hAnsi="Calibri"/>
              </w:rPr>
            </w:pPr>
            <w:r w:rsidRPr="000F274F">
              <w:rPr>
                <w:rFonts w:asciiTheme="minorHAnsi" w:hAnsiTheme="minorHAnsi" w:cs="Calibri"/>
              </w:rPr>
              <w:t>Modern Slavery has the same meaning as it has in the Modern Slavery Act 2018 (</w:t>
            </w:r>
            <w:proofErr w:type="spellStart"/>
            <w:r w:rsidRPr="000F274F">
              <w:rPr>
                <w:rFonts w:asciiTheme="minorHAnsi" w:hAnsiTheme="minorHAnsi" w:cs="Calibri"/>
              </w:rPr>
              <w:t>Cth</w:t>
            </w:r>
            <w:proofErr w:type="spellEnd"/>
            <w:r w:rsidRPr="000F274F">
              <w:rPr>
                <w:rFonts w:asciiTheme="minorHAnsi" w:hAnsiTheme="minorHAnsi" w:cs="Calibri"/>
              </w:rPr>
              <w:t>) and includes trafficking in persons; slavery; servitude; forced marriage; forced labour; debt bondage; deceptive recruiting for labour or services; and the worst forms of child labour. The worst forms of child labour means situations where children are subjected to slavery or similar practices, or engaged in hazardous work.</w:t>
            </w:r>
          </w:p>
        </w:tc>
      </w:tr>
      <w:tr w:rsidR="00FA0C04" w:rsidRPr="009C2FC5" w:rsidTr="00DB2161">
        <w:tc>
          <w:tcPr>
            <w:tcW w:w="1526" w:type="dxa"/>
            <w:shd w:val="clear" w:color="auto" w:fill="auto"/>
          </w:tcPr>
          <w:p w:rsidR="00FA0C04" w:rsidRPr="009C2FC5" w:rsidRDefault="00FA0C04" w:rsidP="00DB2161">
            <w:pPr>
              <w:rPr>
                <w:rFonts w:ascii="Calibri" w:hAnsi="Calibri"/>
              </w:rPr>
            </w:pPr>
            <w:r w:rsidRPr="009C2FC5">
              <w:rPr>
                <w:rFonts w:ascii="Calibri" w:hAnsi="Calibri"/>
              </w:rPr>
              <w:t>Probity</w:t>
            </w:r>
          </w:p>
        </w:tc>
        <w:tc>
          <w:tcPr>
            <w:tcW w:w="9156" w:type="dxa"/>
            <w:shd w:val="clear" w:color="auto" w:fill="auto"/>
          </w:tcPr>
          <w:p w:rsidR="00FA0C04" w:rsidRPr="009C2FC5" w:rsidRDefault="00FA0C04" w:rsidP="00DB2161">
            <w:pPr>
              <w:rPr>
                <w:rFonts w:ascii="Calibri" w:hAnsi="Calibri"/>
              </w:rPr>
            </w:pPr>
            <w:r w:rsidRPr="009C2FC5">
              <w:rPr>
                <w:rFonts w:ascii="Calibri" w:hAnsi="Calibri"/>
              </w:rPr>
              <w:t>Uprightness, honesty, proper and ethical conduct and propriety in dealings. Often used in government in a general sense, to mean good process.</w:t>
            </w:r>
          </w:p>
        </w:tc>
      </w:tr>
    </w:tbl>
    <w:p w:rsidR="00AC6128" w:rsidRPr="00240FDA" w:rsidRDefault="00AC6128" w:rsidP="00240FDA">
      <w:pPr>
        <w:keepNext/>
        <w:numPr>
          <w:ilvl w:val="0"/>
          <w:numId w:val="9"/>
        </w:numPr>
        <w:ind w:left="357" w:hanging="357"/>
        <w:rPr>
          <w:rFonts w:ascii="Calibri" w:hAnsi="Calibri"/>
          <w:b/>
        </w:rPr>
      </w:pPr>
      <w:r w:rsidRPr="00443B02">
        <w:rPr>
          <w:rFonts w:ascii="Calibri" w:hAnsi="Calibri"/>
          <w:b/>
        </w:rPr>
        <w:t>Name of Standard to which Guideline</w:t>
      </w:r>
      <w:r w:rsidR="009663D3" w:rsidRPr="00443B02">
        <w:rPr>
          <w:rFonts w:ascii="Calibri" w:hAnsi="Calibri"/>
          <w:b/>
        </w:rPr>
        <w:t>,</w:t>
      </w:r>
      <w:r w:rsidR="00147996" w:rsidRPr="00443B02">
        <w:rPr>
          <w:rFonts w:ascii="Calibri" w:hAnsi="Calibri"/>
          <w:b/>
        </w:rPr>
        <w:t xml:space="preserve"> P</w:t>
      </w:r>
      <w:r w:rsidR="0078266A" w:rsidRPr="00443B02">
        <w:rPr>
          <w:rFonts w:ascii="Calibri" w:hAnsi="Calibri"/>
          <w:b/>
        </w:rPr>
        <w:t>rocedure</w:t>
      </w:r>
      <w:r w:rsidRPr="00443B02">
        <w:rPr>
          <w:rFonts w:ascii="Calibri" w:hAnsi="Calibri"/>
          <w:b/>
        </w:rPr>
        <w:t xml:space="preserve"> </w:t>
      </w:r>
      <w:r w:rsidR="009663D3" w:rsidRPr="00443B02">
        <w:rPr>
          <w:rFonts w:ascii="Calibri" w:hAnsi="Calibri"/>
          <w:b/>
        </w:rPr>
        <w:t>or</w:t>
      </w:r>
      <w:r w:rsidR="00147996" w:rsidRPr="00443B02">
        <w:rPr>
          <w:rFonts w:ascii="Calibri" w:hAnsi="Calibri"/>
          <w:b/>
        </w:rPr>
        <w:t xml:space="preserve"> Protocol </w:t>
      </w:r>
      <w:r w:rsidRPr="00443B02">
        <w:rPr>
          <w:rFonts w:ascii="Calibri" w:hAnsi="Calibri"/>
          <w:b/>
        </w:rPr>
        <w:t>relates</w:t>
      </w:r>
    </w:p>
    <w:p w:rsidR="00AC6128" w:rsidRPr="00443B02" w:rsidRDefault="006F7EB0" w:rsidP="00AC6128">
      <w:pPr>
        <w:rPr>
          <w:rFonts w:ascii="Calibri" w:hAnsi="Calibri"/>
        </w:rPr>
      </w:pPr>
      <w:r w:rsidRPr="009C2FC5">
        <w:rPr>
          <w:rFonts w:ascii="Calibri" w:hAnsi="Calibri"/>
        </w:rPr>
        <w:t>Supplier Management Standard</w:t>
      </w:r>
    </w:p>
    <w:p w:rsidR="00763E6D" w:rsidRPr="0093504D" w:rsidRDefault="00C529A6" w:rsidP="0093504D">
      <w:pPr>
        <w:keepNext/>
        <w:numPr>
          <w:ilvl w:val="0"/>
          <w:numId w:val="9"/>
        </w:numPr>
        <w:ind w:left="357" w:hanging="357"/>
        <w:rPr>
          <w:rFonts w:ascii="Calibri" w:hAnsi="Calibri"/>
          <w:b/>
        </w:rPr>
      </w:pPr>
      <w:r w:rsidRPr="00443B02">
        <w:rPr>
          <w:rFonts w:ascii="Calibri" w:hAnsi="Calibri"/>
          <w:b/>
        </w:rPr>
        <w:t>Processes</w:t>
      </w:r>
    </w:p>
    <w:p w:rsidR="00560232" w:rsidRDefault="006F7EB0" w:rsidP="00B66967">
      <w:pPr>
        <w:rPr>
          <w:rFonts w:ascii="Calibri" w:hAnsi="Calibri"/>
          <w:bCs/>
        </w:rPr>
      </w:pPr>
      <w:r w:rsidRPr="00AE6241">
        <w:rPr>
          <w:rFonts w:ascii="Calibri" w:hAnsi="Calibri"/>
          <w:bCs/>
        </w:rPr>
        <w:t xml:space="preserve">A procurement complaint is an issue or concern expressed by a supplier in relation to the process and probity applied by Eastern Health when carrying out a procurement activity. Following this guideline will ensure an effective complaints management process </w:t>
      </w:r>
      <w:r>
        <w:rPr>
          <w:rFonts w:ascii="Calibri" w:hAnsi="Calibri"/>
          <w:bCs/>
        </w:rPr>
        <w:t xml:space="preserve">is in place </w:t>
      </w:r>
      <w:r w:rsidRPr="00AE6241">
        <w:rPr>
          <w:rFonts w:ascii="Calibri" w:hAnsi="Calibri"/>
          <w:bCs/>
        </w:rPr>
        <w:t xml:space="preserve">that demonstrates transparency and accountability. This guideline does not apply to Eastern Health or other public </w:t>
      </w:r>
      <w:r>
        <w:rPr>
          <w:rFonts w:ascii="Calibri" w:hAnsi="Calibri"/>
          <w:bCs/>
        </w:rPr>
        <w:t xml:space="preserve">sector </w:t>
      </w:r>
      <w:r w:rsidRPr="00AE6241">
        <w:rPr>
          <w:rFonts w:ascii="Calibri" w:hAnsi="Calibri"/>
          <w:bCs/>
        </w:rPr>
        <w:t>staff</w:t>
      </w:r>
      <w:r>
        <w:rPr>
          <w:rFonts w:ascii="Calibri" w:hAnsi="Calibri"/>
          <w:bCs/>
        </w:rPr>
        <w:t>, or members of the public</w:t>
      </w:r>
      <w:r w:rsidRPr="00AE6241">
        <w:rPr>
          <w:rFonts w:ascii="Calibri" w:hAnsi="Calibri"/>
          <w:bCs/>
        </w:rPr>
        <w:t xml:space="preserve"> who wish to make a </w:t>
      </w:r>
      <w:r>
        <w:rPr>
          <w:rFonts w:ascii="Calibri" w:hAnsi="Calibri"/>
          <w:bCs/>
        </w:rPr>
        <w:t xml:space="preserve">disclosure </w:t>
      </w:r>
      <w:r w:rsidRPr="00AE6241">
        <w:rPr>
          <w:rFonts w:ascii="Calibri" w:hAnsi="Calibri"/>
          <w:bCs/>
        </w:rPr>
        <w:t>under the Protected Disclosure Act 2012. (Refer to the Protected Disclosure</w:t>
      </w:r>
      <w:r>
        <w:rPr>
          <w:rFonts w:ascii="Calibri" w:hAnsi="Calibri"/>
          <w:bCs/>
        </w:rPr>
        <w:t>s</w:t>
      </w:r>
      <w:r w:rsidRPr="00AE6241">
        <w:rPr>
          <w:rFonts w:ascii="Calibri" w:hAnsi="Calibri"/>
          <w:bCs/>
        </w:rPr>
        <w:t xml:space="preserve"> P</w:t>
      </w:r>
      <w:r>
        <w:rPr>
          <w:rFonts w:ascii="Calibri" w:hAnsi="Calibri"/>
          <w:bCs/>
        </w:rPr>
        <w:t>rocedure)</w:t>
      </w:r>
    </w:p>
    <w:p w:rsidR="00FA0C04" w:rsidRPr="00443B02" w:rsidRDefault="00FA0C04" w:rsidP="00B66967">
      <w:pPr>
        <w:rPr>
          <w:rFonts w:ascii="Calibri" w:hAnsi="Calibri"/>
        </w:rPr>
      </w:pPr>
      <w:r>
        <w:rPr>
          <w:rFonts w:ascii="Calibri" w:hAnsi="Calibri"/>
        </w:rPr>
        <w:t xml:space="preserve">Any complaints or grievances relating to suspected Modern Slavery practices within </w:t>
      </w:r>
      <w:r w:rsidRPr="00FA0C04">
        <w:rPr>
          <w:rFonts w:ascii="Calibri" w:hAnsi="Calibri"/>
        </w:rPr>
        <w:t>Eastern Health</w:t>
      </w:r>
      <w:r>
        <w:rPr>
          <w:rFonts w:ascii="Calibri" w:hAnsi="Calibri"/>
        </w:rPr>
        <w:t xml:space="preserve"> or the </w:t>
      </w:r>
      <w:r w:rsidRPr="00FA0C04">
        <w:rPr>
          <w:rFonts w:ascii="Calibri" w:hAnsi="Calibri"/>
        </w:rPr>
        <w:t>Eastern Health</w:t>
      </w:r>
      <w:r>
        <w:rPr>
          <w:rFonts w:ascii="Calibri" w:hAnsi="Calibri"/>
        </w:rPr>
        <w:t xml:space="preserve"> supply chain will be handled in accordance with the guideline.</w:t>
      </w:r>
    </w:p>
    <w:p w:rsidR="00763E6D" w:rsidRPr="00443B02" w:rsidRDefault="006F7EB0" w:rsidP="00B66967">
      <w:pPr>
        <w:rPr>
          <w:rFonts w:ascii="Calibri" w:hAnsi="Calibri"/>
        </w:rPr>
      </w:pPr>
      <w:r w:rsidRPr="00AE6241">
        <w:rPr>
          <w:rFonts w:ascii="Calibri" w:hAnsi="Calibri"/>
          <w:bCs/>
        </w:rPr>
        <w:t xml:space="preserve">Complaints must be dealt with confidentially and suppliers who lodge a complaint must not be </w:t>
      </w:r>
      <w:r w:rsidRPr="00FB5E92">
        <w:rPr>
          <w:rFonts w:ascii="Calibri" w:hAnsi="Calibri"/>
          <w:bCs/>
        </w:rPr>
        <w:t>discriminated against in any way</w:t>
      </w:r>
      <w:r>
        <w:rPr>
          <w:rFonts w:ascii="Calibri" w:hAnsi="Calibri"/>
          <w:bCs/>
        </w:rPr>
        <w:t xml:space="preserve">. </w:t>
      </w:r>
      <w:r w:rsidRPr="00FB5E92">
        <w:rPr>
          <w:rFonts w:ascii="Calibri" w:hAnsi="Calibri"/>
          <w:bCs/>
        </w:rPr>
        <w:t>Disputes related to a Tender or Contract Management issue are to be managed in accordance with any dispute resolution process documented in the agreement</w:t>
      </w:r>
      <w:r>
        <w:rPr>
          <w:rFonts w:ascii="Calibri" w:hAnsi="Calibri"/>
          <w:bCs/>
        </w:rPr>
        <w:t>.</w:t>
      </w:r>
    </w:p>
    <w:p w:rsidR="007C0D10" w:rsidRPr="00443B02" w:rsidRDefault="006F7EB0" w:rsidP="00B66967">
      <w:pPr>
        <w:rPr>
          <w:rFonts w:ascii="Calibri" w:hAnsi="Calibri"/>
        </w:rPr>
      </w:pPr>
      <w:r w:rsidRPr="00FB5E92">
        <w:rPr>
          <w:rFonts w:ascii="Calibri" w:hAnsi="Calibri"/>
          <w:bCs/>
        </w:rPr>
        <w:t>Eastern Health p</w:t>
      </w:r>
      <w:r w:rsidRPr="00FB5E92">
        <w:rPr>
          <w:rFonts w:ascii="Calibri" w:hAnsi="Calibri"/>
        </w:rPr>
        <w:t xml:space="preserve">rovides information for suppliers </w:t>
      </w:r>
      <w:r>
        <w:rPr>
          <w:rFonts w:ascii="Calibri" w:hAnsi="Calibri"/>
        </w:rPr>
        <w:t>i</w:t>
      </w:r>
      <w:r w:rsidRPr="00FB5E92">
        <w:rPr>
          <w:rFonts w:ascii="Calibri" w:hAnsi="Calibri"/>
        </w:rPr>
        <w:t>n ‘</w:t>
      </w:r>
      <w:r w:rsidRPr="00FB5E92">
        <w:rPr>
          <w:rFonts w:ascii="Calibri" w:hAnsi="Calibri"/>
          <w:bCs/>
        </w:rPr>
        <w:t>How to lodge a complaint about the Procurement Process at Eastern Health’</w:t>
      </w:r>
      <w:r w:rsidRPr="00FB5E92">
        <w:rPr>
          <w:rFonts w:ascii="Calibri" w:hAnsi="Calibri"/>
        </w:rPr>
        <w:t xml:space="preserve"> </w:t>
      </w:r>
      <w:r>
        <w:rPr>
          <w:rFonts w:ascii="Calibri" w:hAnsi="Calibri"/>
        </w:rPr>
        <w:t xml:space="preserve">available on </w:t>
      </w:r>
      <w:r w:rsidRPr="00FB5E92">
        <w:rPr>
          <w:rFonts w:ascii="Calibri" w:hAnsi="Calibri"/>
        </w:rPr>
        <w:t>its website, along with a copy of this guideline and other procurement information provided to suppliers</w:t>
      </w:r>
      <w:r>
        <w:rPr>
          <w:rFonts w:ascii="Calibri" w:hAnsi="Calibri"/>
        </w:rPr>
        <w:t>.</w:t>
      </w:r>
    </w:p>
    <w:p w:rsidR="0055285B" w:rsidRPr="006F7EB0" w:rsidRDefault="006F7EB0" w:rsidP="006F7EB0">
      <w:pPr>
        <w:rPr>
          <w:rFonts w:ascii="Calibri" w:hAnsi="Calibri"/>
          <w:bCs/>
        </w:rPr>
      </w:pPr>
      <w:r w:rsidRPr="006F7EB0">
        <w:rPr>
          <w:rFonts w:ascii="Calibri" w:hAnsi="Calibri"/>
          <w:bCs/>
        </w:rPr>
        <w:lastRenderedPageBreak/>
        <w:t>In the first instance, complainants should be encouraged to resolve the matter through the area managing the procurement process. This includes the authorised officer during a tender process. If this is unsuccessful or declined by the complainant, then suppliers wishing to lodge a complaint must be sent a copy of the Eastern Health Procurement Complaints process (refer to the ‘</w:t>
      </w:r>
      <w:r w:rsidRPr="00FB5E92">
        <w:rPr>
          <w:rFonts w:ascii="Calibri" w:hAnsi="Calibri"/>
          <w:bCs/>
        </w:rPr>
        <w:t>How to lodge a complaint about the Procurement Process at Eastern Health’</w:t>
      </w:r>
      <w:r w:rsidRPr="006F7EB0">
        <w:rPr>
          <w:rFonts w:ascii="Calibri" w:hAnsi="Calibri"/>
          <w:bCs/>
        </w:rPr>
        <w:t xml:space="preserve"> attachment), or directed to the relevant information located on the Eastern Health website. The complaint must be submitted in writing or via email to the Chief Procurement Officer (CPO).</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t>The written complaint must set out:</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the basis for the complaint (specifying the issues involved);</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how the subject of the complaint (and the specific issues) affect the person or organisation making the complaint;</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 xml:space="preserve">any relevant background information; and </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the expected corrective outcome.</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t>The CPO will:</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allocate the complaint to an appropriate staff member for investigation</w:t>
      </w:r>
      <w:r>
        <w:rPr>
          <w:rFonts w:ascii="Calibri" w:hAnsi="Calibri"/>
        </w:rPr>
        <w:t>.</w:t>
      </w:r>
      <w:r w:rsidRPr="00AE6241">
        <w:rPr>
          <w:rFonts w:ascii="Calibri" w:hAnsi="Calibri"/>
        </w:rPr>
        <w:t xml:space="preserve"> </w:t>
      </w:r>
      <w:r>
        <w:rPr>
          <w:rFonts w:ascii="Calibri" w:hAnsi="Calibri"/>
        </w:rPr>
        <w:t>T</w:t>
      </w:r>
      <w:r w:rsidRPr="00AE6241">
        <w:rPr>
          <w:rFonts w:ascii="Calibri" w:hAnsi="Calibri"/>
        </w:rPr>
        <w:t xml:space="preserve">his will be someone who is not involved in the matter of the complaint and is independent of anyone directly involved; </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 xml:space="preserve">ensure any complaints raising issues of improper conduct, including corruption or fraud, are managed with reference to other Eastern Health </w:t>
      </w:r>
      <w:proofErr w:type="spellStart"/>
      <w:r>
        <w:rPr>
          <w:rFonts w:ascii="Calibri" w:hAnsi="Calibri"/>
        </w:rPr>
        <w:t>policies</w:t>
      </w:r>
      <w:r w:rsidRPr="00AE6241">
        <w:rPr>
          <w:rFonts w:ascii="Calibri" w:hAnsi="Calibri"/>
        </w:rPr>
        <w:t>including</w:t>
      </w:r>
      <w:proofErr w:type="spellEnd"/>
      <w:r w:rsidRPr="00AE6241">
        <w:rPr>
          <w:rFonts w:ascii="Calibri" w:hAnsi="Calibri"/>
        </w:rPr>
        <w:t xml:space="preserve"> (but not limited to):</w:t>
      </w:r>
    </w:p>
    <w:p w:rsidR="006F7EB0" w:rsidRPr="00AE6241" w:rsidRDefault="006F7EB0" w:rsidP="006F7EB0">
      <w:pPr>
        <w:numPr>
          <w:ilvl w:val="2"/>
          <w:numId w:val="15"/>
        </w:numPr>
        <w:spacing w:before="0" w:after="0"/>
        <w:rPr>
          <w:rFonts w:ascii="Calibri" w:hAnsi="Calibri"/>
        </w:rPr>
      </w:pPr>
      <w:r w:rsidRPr="00AE6241">
        <w:rPr>
          <w:rFonts w:ascii="Calibri" w:hAnsi="Calibri"/>
        </w:rPr>
        <w:t>Gifts, Benefits and Hospitality</w:t>
      </w:r>
      <w:r>
        <w:rPr>
          <w:rFonts w:ascii="Calibri" w:hAnsi="Calibri"/>
        </w:rPr>
        <w:t xml:space="preserve"> Guideline</w:t>
      </w:r>
      <w:r w:rsidRPr="00AE6241">
        <w:rPr>
          <w:rFonts w:ascii="Calibri" w:hAnsi="Calibri"/>
        </w:rPr>
        <w:t>;</w:t>
      </w:r>
    </w:p>
    <w:p w:rsidR="006F7EB0" w:rsidRPr="00AE6241" w:rsidRDefault="006F7EB0" w:rsidP="006F7EB0">
      <w:pPr>
        <w:numPr>
          <w:ilvl w:val="2"/>
          <w:numId w:val="15"/>
        </w:numPr>
        <w:spacing w:before="0" w:after="0"/>
        <w:rPr>
          <w:rFonts w:ascii="Calibri" w:hAnsi="Calibri"/>
        </w:rPr>
      </w:pPr>
      <w:r w:rsidRPr="00AE6241">
        <w:rPr>
          <w:rFonts w:ascii="Calibri" w:hAnsi="Calibri"/>
        </w:rPr>
        <w:t>Conflict of Interest</w:t>
      </w:r>
      <w:r>
        <w:rPr>
          <w:rFonts w:ascii="Calibri" w:hAnsi="Calibri"/>
        </w:rPr>
        <w:t xml:space="preserve"> Standard</w:t>
      </w:r>
      <w:r w:rsidRPr="00AE6241">
        <w:rPr>
          <w:rFonts w:ascii="Calibri" w:hAnsi="Calibri"/>
        </w:rPr>
        <w:t>;</w:t>
      </w:r>
    </w:p>
    <w:p w:rsidR="006F7EB0" w:rsidRPr="00AE6241" w:rsidRDefault="006F7EB0" w:rsidP="006F7EB0">
      <w:pPr>
        <w:numPr>
          <w:ilvl w:val="2"/>
          <w:numId w:val="15"/>
        </w:numPr>
        <w:spacing w:before="0" w:after="0"/>
        <w:rPr>
          <w:rFonts w:ascii="Calibri" w:hAnsi="Calibri"/>
        </w:rPr>
      </w:pPr>
      <w:r w:rsidRPr="00AE6241">
        <w:rPr>
          <w:rFonts w:ascii="Calibri" w:hAnsi="Calibri"/>
        </w:rPr>
        <w:t>Code of Conduct</w:t>
      </w:r>
      <w:r>
        <w:rPr>
          <w:rFonts w:ascii="Calibri" w:hAnsi="Calibri"/>
        </w:rPr>
        <w:t xml:space="preserve"> Standard</w:t>
      </w:r>
      <w:r w:rsidRPr="00AE6241">
        <w:rPr>
          <w:rFonts w:ascii="Calibri" w:hAnsi="Calibri"/>
        </w:rPr>
        <w:t>;</w:t>
      </w:r>
    </w:p>
    <w:p w:rsidR="006F7EB0" w:rsidRPr="00AE6241" w:rsidRDefault="006F7EB0" w:rsidP="006F7EB0">
      <w:pPr>
        <w:numPr>
          <w:ilvl w:val="2"/>
          <w:numId w:val="15"/>
        </w:numPr>
        <w:spacing w:before="0" w:after="0"/>
        <w:rPr>
          <w:rFonts w:ascii="Calibri" w:hAnsi="Calibri"/>
        </w:rPr>
      </w:pPr>
      <w:r w:rsidRPr="00AE6241">
        <w:rPr>
          <w:rFonts w:ascii="Calibri" w:hAnsi="Calibri"/>
        </w:rPr>
        <w:t>Grievance</w:t>
      </w:r>
      <w:r>
        <w:rPr>
          <w:rFonts w:ascii="Calibri" w:hAnsi="Calibri"/>
        </w:rPr>
        <w:t xml:space="preserve"> Guideline</w:t>
      </w:r>
      <w:r w:rsidRPr="00AE6241">
        <w:rPr>
          <w:rFonts w:ascii="Calibri" w:hAnsi="Calibri"/>
        </w:rPr>
        <w:t>;</w:t>
      </w:r>
    </w:p>
    <w:p w:rsidR="006F7EB0" w:rsidRPr="00AE6241" w:rsidRDefault="006F7EB0" w:rsidP="006F7EB0">
      <w:pPr>
        <w:numPr>
          <w:ilvl w:val="2"/>
          <w:numId w:val="15"/>
        </w:numPr>
        <w:spacing w:before="0" w:after="0"/>
        <w:rPr>
          <w:rFonts w:ascii="Calibri" w:hAnsi="Calibri"/>
        </w:rPr>
      </w:pPr>
      <w:r w:rsidRPr="00AE6241">
        <w:rPr>
          <w:rFonts w:ascii="Calibri" w:hAnsi="Calibri"/>
        </w:rPr>
        <w:t>Privacy</w:t>
      </w:r>
      <w:r>
        <w:rPr>
          <w:rFonts w:ascii="Calibri" w:hAnsi="Calibri"/>
        </w:rPr>
        <w:t xml:space="preserve"> Standard</w:t>
      </w:r>
      <w:r w:rsidRPr="00AE6241">
        <w:rPr>
          <w:rFonts w:ascii="Calibri" w:hAnsi="Calibri"/>
        </w:rPr>
        <w:t>; and</w:t>
      </w:r>
    </w:p>
    <w:p w:rsidR="006F7EB0" w:rsidRPr="00AE6241" w:rsidRDefault="006F7EB0" w:rsidP="006F7EB0">
      <w:pPr>
        <w:numPr>
          <w:ilvl w:val="2"/>
          <w:numId w:val="15"/>
        </w:numPr>
        <w:spacing w:before="0" w:after="0"/>
        <w:rPr>
          <w:rFonts w:ascii="Calibri" w:hAnsi="Calibri"/>
        </w:rPr>
      </w:pPr>
      <w:r w:rsidRPr="00AE6241">
        <w:rPr>
          <w:rFonts w:ascii="Calibri" w:hAnsi="Calibri"/>
        </w:rPr>
        <w:t>Protected Disclosure</w:t>
      </w:r>
      <w:r>
        <w:rPr>
          <w:rFonts w:ascii="Calibri" w:hAnsi="Calibri"/>
        </w:rPr>
        <w:t xml:space="preserve"> Procedure</w:t>
      </w:r>
      <w:r w:rsidRPr="00AE6241">
        <w:rPr>
          <w:rFonts w:ascii="Calibri" w:hAnsi="Calibri"/>
        </w:rPr>
        <w:t>.</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forward the complaint to the Director Supply Chain, for lodgement in the Procurement Complaints database;</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decide if complaints received during a tender process are to be referred to a probity officer; and</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decide if Legal Counsel or the CEO needs to be notified of the complaint.</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t>All complaints will be dealt with in a timely manner:</w:t>
      </w:r>
    </w:p>
    <w:p w:rsidR="006F7EB0" w:rsidRPr="00FB5E92" w:rsidRDefault="006F7EB0" w:rsidP="006F7EB0">
      <w:pPr>
        <w:numPr>
          <w:ilvl w:val="0"/>
          <w:numId w:val="15"/>
        </w:numPr>
        <w:spacing w:before="0" w:after="0"/>
        <w:ind w:left="1276" w:hanging="425"/>
        <w:rPr>
          <w:rFonts w:ascii="Calibri" w:hAnsi="Calibri"/>
        </w:rPr>
      </w:pPr>
      <w:r w:rsidRPr="00AE6241">
        <w:rPr>
          <w:rFonts w:ascii="Calibri" w:hAnsi="Calibri"/>
        </w:rPr>
        <w:t xml:space="preserve">complaints must be entered in the complaints database managed by the Director Supply Chain and acknowledged by </w:t>
      </w:r>
      <w:r w:rsidRPr="00FB5E92">
        <w:rPr>
          <w:rFonts w:ascii="Calibri" w:hAnsi="Calibri"/>
        </w:rPr>
        <w:t xml:space="preserve">return email or letter, within 5 working days of receipt; </w:t>
      </w:r>
    </w:p>
    <w:p w:rsidR="006F7EB0" w:rsidRPr="00FB5E92" w:rsidRDefault="006F7EB0" w:rsidP="006F7EB0">
      <w:pPr>
        <w:numPr>
          <w:ilvl w:val="0"/>
          <w:numId w:val="15"/>
        </w:numPr>
        <w:spacing w:before="0" w:after="0"/>
        <w:ind w:left="1276" w:hanging="425"/>
        <w:rPr>
          <w:rFonts w:ascii="Calibri" w:hAnsi="Calibri"/>
        </w:rPr>
      </w:pPr>
      <w:r w:rsidRPr="00FB5E92">
        <w:rPr>
          <w:rFonts w:ascii="Calibri" w:hAnsi="Calibri"/>
        </w:rPr>
        <w:t>where possible, investigations are to be completed within 20 working days; and</w:t>
      </w:r>
    </w:p>
    <w:p w:rsidR="006F7EB0" w:rsidRPr="00FB5E92" w:rsidRDefault="006F7EB0" w:rsidP="006F7EB0">
      <w:pPr>
        <w:numPr>
          <w:ilvl w:val="0"/>
          <w:numId w:val="15"/>
        </w:numPr>
        <w:spacing w:before="0" w:after="0"/>
        <w:ind w:left="1276" w:hanging="425"/>
        <w:rPr>
          <w:rFonts w:ascii="Calibri" w:hAnsi="Calibri"/>
        </w:rPr>
      </w:pPr>
      <w:r w:rsidRPr="00FB5E92">
        <w:rPr>
          <w:rFonts w:ascii="Calibri" w:hAnsi="Calibri"/>
        </w:rPr>
        <w:t>if the investigation is anticipated to take longer than 20 days, the complainant is to be notified of the likely response date.</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t>As a minimum, the following details must be entered in the database:</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Complainant Details (name, company, address and contact details);</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A concise statement of the nature of the complaint;</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Details of any attempt by the complainant to address the matter within the ‘invitation to supply’ process;</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Progress notes on the investigation, including recommended actions approved by the CPO; and</w:t>
      </w:r>
    </w:p>
    <w:p w:rsidR="006F7EB0" w:rsidRPr="00AE6241" w:rsidRDefault="006F7EB0" w:rsidP="006F7EB0">
      <w:pPr>
        <w:numPr>
          <w:ilvl w:val="0"/>
          <w:numId w:val="15"/>
        </w:numPr>
        <w:spacing w:before="0" w:after="0"/>
        <w:ind w:left="1276" w:hanging="425"/>
        <w:rPr>
          <w:rFonts w:ascii="Calibri" w:hAnsi="Calibri"/>
        </w:rPr>
      </w:pPr>
      <w:r w:rsidRPr="00AE6241">
        <w:rPr>
          <w:rFonts w:ascii="Calibri" w:hAnsi="Calibri"/>
        </w:rPr>
        <w:t>Outcome of the complaint.</w:t>
      </w:r>
    </w:p>
    <w:p w:rsidR="006F7EB0" w:rsidRPr="00AE6241" w:rsidRDefault="006F7EB0" w:rsidP="006F7EB0">
      <w:pPr>
        <w:numPr>
          <w:ilvl w:val="0"/>
          <w:numId w:val="14"/>
        </w:numPr>
        <w:ind w:left="851" w:hanging="426"/>
        <w:rPr>
          <w:rFonts w:ascii="Calibri" w:hAnsi="Calibri"/>
        </w:rPr>
      </w:pPr>
      <w:r w:rsidRPr="00AE6241">
        <w:rPr>
          <w:rFonts w:ascii="Calibri" w:hAnsi="Calibri"/>
        </w:rPr>
        <w:t>The investigating staff member may</w:t>
      </w:r>
      <w:r>
        <w:rPr>
          <w:rFonts w:ascii="Calibri" w:hAnsi="Calibri"/>
        </w:rPr>
        <w:t>,</w:t>
      </w:r>
      <w:r w:rsidRPr="00AE6241">
        <w:rPr>
          <w:rFonts w:ascii="Calibri" w:hAnsi="Calibri"/>
        </w:rPr>
        <w:t xml:space="preserve"> throughout the course of their investigation</w:t>
      </w:r>
      <w:r>
        <w:rPr>
          <w:rFonts w:ascii="Calibri" w:hAnsi="Calibri"/>
        </w:rPr>
        <w:t>,</w:t>
      </w:r>
      <w:r w:rsidRPr="00AE6241">
        <w:rPr>
          <w:rFonts w:ascii="Calibri" w:hAnsi="Calibri"/>
        </w:rPr>
        <w:t xml:space="preserve"> seek to meet/contact the </w:t>
      </w:r>
      <w:r>
        <w:rPr>
          <w:rFonts w:ascii="Calibri" w:hAnsi="Calibri"/>
        </w:rPr>
        <w:t>c</w:t>
      </w:r>
      <w:r w:rsidRPr="00AE6241">
        <w:rPr>
          <w:rFonts w:ascii="Calibri" w:hAnsi="Calibri"/>
        </w:rPr>
        <w:t>omplainant to either clarify any issues or seek further information.</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lastRenderedPageBreak/>
        <w:t>The outcome of the investigation</w:t>
      </w:r>
      <w:r>
        <w:rPr>
          <w:rFonts w:ascii="Calibri" w:hAnsi="Calibri"/>
        </w:rPr>
        <w:t>,</w:t>
      </w:r>
      <w:r w:rsidRPr="00AE6241">
        <w:rPr>
          <w:rFonts w:ascii="Calibri" w:hAnsi="Calibri"/>
        </w:rPr>
        <w:t xml:space="preserve"> including recommended actions</w:t>
      </w:r>
      <w:r>
        <w:rPr>
          <w:rFonts w:ascii="Calibri" w:hAnsi="Calibri"/>
        </w:rPr>
        <w:t>,</w:t>
      </w:r>
      <w:r w:rsidRPr="00AE6241">
        <w:rPr>
          <w:rFonts w:ascii="Calibri" w:hAnsi="Calibri"/>
        </w:rPr>
        <w:t xml:space="preserve"> will be recorded in the Procurement complaints database and emailed to the CPO and Director of Supply Chain. The CPO will decide what actions will be implemented as a result of the investigation, and </w:t>
      </w:r>
      <w:r>
        <w:rPr>
          <w:rFonts w:ascii="Calibri" w:hAnsi="Calibri"/>
        </w:rPr>
        <w:t xml:space="preserve">assign </w:t>
      </w:r>
      <w:r w:rsidRPr="00AE6241">
        <w:rPr>
          <w:rFonts w:ascii="Calibri" w:hAnsi="Calibri"/>
        </w:rPr>
        <w:t>implementation of the actions to an appropriate staff member. This may include:</w:t>
      </w:r>
    </w:p>
    <w:p w:rsidR="006F7EB0" w:rsidRPr="00AE6241" w:rsidRDefault="006F7EB0" w:rsidP="006F7EB0">
      <w:pPr>
        <w:numPr>
          <w:ilvl w:val="1"/>
          <w:numId w:val="16"/>
        </w:numPr>
        <w:spacing w:before="0" w:after="0"/>
        <w:rPr>
          <w:rFonts w:ascii="Calibri" w:hAnsi="Calibri"/>
        </w:rPr>
      </w:pPr>
      <w:r w:rsidRPr="00AE6241">
        <w:rPr>
          <w:rFonts w:ascii="Calibri" w:hAnsi="Calibri"/>
        </w:rPr>
        <w:t>Notifying the complainant that Eastern Health found the complaint was not justified;</w:t>
      </w:r>
    </w:p>
    <w:p w:rsidR="006F7EB0" w:rsidRPr="00AE6241" w:rsidRDefault="006F7EB0" w:rsidP="006F7EB0">
      <w:pPr>
        <w:numPr>
          <w:ilvl w:val="1"/>
          <w:numId w:val="16"/>
        </w:numPr>
        <w:spacing w:before="0" w:after="0"/>
        <w:rPr>
          <w:rFonts w:ascii="Calibri" w:hAnsi="Calibri"/>
        </w:rPr>
      </w:pPr>
      <w:r w:rsidRPr="00AE6241">
        <w:rPr>
          <w:rFonts w:ascii="Calibri" w:hAnsi="Calibri"/>
        </w:rPr>
        <w:t>Apologising for any errors/poor performance found in relation to the complaint;</w:t>
      </w:r>
    </w:p>
    <w:p w:rsidR="006F7EB0" w:rsidRPr="00AE6241" w:rsidRDefault="006F7EB0" w:rsidP="006F7EB0">
      <w:pPr>
        <w:numPr>
          <w:ilvl w:val="1"/>
          <w:numId w:val="16"/>
        </w:numPr>
        <w:spacing w:before="0" w:after="0"/>
        <w:rPr>
          <w:rFonts w:ascii="Calibri" w:hAnsi="Calibri"/>
        </w:rPr>
      </w:pPr>
      <w:r w:rsidRPr="00AE6241">
        <w:rPr>
          <w:rFonts w:ascii="Calibri" w:hAnsi="Calibri"/>
        </w:rPr>
        <w:t>Seeking to meet with the complainant to discuss any corrective outcome they are seeking;</w:t>
      </w:r>
    </w:p>
    <w:p w:rsidR="006F7EB0" w:rsidRPr="00AE6241" w:rsidRDefault="006F7EB0" w:rsidP="006F7EB0">
      <w:pPr>
        <w:numPr>
          <w:ilvl w:val="1"/>
          <w:numId w:val="16"/>
        </w:numPr>
        <w:spacing w:before="0" w:after="0"/>
        <w:rPr>
          <w:rFonts w:ascii="Calibri" w:hAnsi="Calibri"/>
        </w:rPr>
      </w:pPr>
      <w:r w:rsidRPr="00AE6241">
        <w:rPr>
          <w:rFonts w:ascii="Calibri" w:hAnsi="Calibri"/>
        </w:rPr>
        <w:t>Meeting with Legal Counsel to discuss the most appropriate course of action;</w:t>
      </w:r>
    </w:p>
    <w:p w:rsidR="006F7EB0" w:rsidRPr="00AE6241" w:rsidRDefault="006F7EB0" w:rsidP="006F7EB0">
      <w:pPr>
        <w:numPr>
          <w:ilvl w:val="1"/>
          <w:numId w:val="16"/>
        </w:numPr>
        <w:spacing w:before="0" w:after="0"/>
        <w:rPr>
          <w:rFonts w:ascii="Calibri" w:hAnsi="Calibri"/>
        </w:rPr>
      </w:pPr>
      <w:r w:rsidRPr="00AE6241">
        <w:rPr>
          <w:rFonts w:ascii="Calibri" w:hAnsi="Calibri"/>
        </w:rPr>
        <w:t>Implementing any agreed corrective actions negotiated with the complainant; and</w:t>
      </w:r>
    </w:p>
    <w:p w:rsidR="006F7EB0" w:rsidRPr="00AE6241" w:rsidRDefault="006F7EB0" w:rsidP="006F7EB0">
      <w:pPr>
        <w:numPr>
          <w:ilvl w:val="1"/>
          <w:numId w:val="16"/>
        </w:numPr>
        <w:spacing w:before="0" w:after="0"/>
        <w:rPr>
          <w:rFonts w:ascii="Calibri" w:hAnsi="Calibri"/>
        </w:rPr>
      </w:pPr>
      <w:r w:rsidRPr="00AE6241">
        <w:rPr>
          <w:rFonts w:ascii="Calibri" w:hAnsi="Calibri"/>
        </w:rPr>
        <w:t>Notifying the complainant that as the complaint could not be resolved, they can refer the matter to the Board of HPV</w:t>
      </w:r>
      <w:r>
        <w:rPr>
          <w:rFonts w:ascii="Calibri" w:hAnsi="Calibri"/>
        </w:rPr>
        <w:t xml:space="preserve"> </w:t>
      </w:r>
      <w:r w:rsidRPr="00AE6241">
        <w:rPr>
          <w:rFonts w:ascii="Calibri" w:hAnsi="Calibri"/>
        </w:rPr>
        <w:t>- refer to point nine below for details.</w:t>
      </w:r>
    </w:p>
    <w:p w:rsidR="006F7EB0" w:rsidRPr="00AE6241" w:rsidRDefault="006F7EB0" w:rsidP="006F7EB0">
      <w:pPr>
        <w:numPr>
          <w:ilvl w:val="0"/>
          <w:numId w:val="14"/>
        </w:numPr>
        <w:ind w:left="851" w:hanging="426"/>
        <w:rPr>
          <w:rFonts w:ascii="Calibri" w:hAnsi="Calibri"/>
        </w:rPr>
      </w:pPr>
      <w:r w:rsidRPr="00AE6241">
        <w:rPr>
          <w:rFonts w:ascii="Calibri" w:hAnsi="Calibri"/>
        </w:rPr>
        <w:t>Complainants must be notified in writing of the outcome of the investigation and any action Eastern Health will take.</w:t>
      </w:r>
    </w:p>
    <w:p w:rsidR="006F7EB0" w:rsidRPr="00AE6241" w:rsidRDefault="006F7EB0" w:rsidP="006F7EB0">
      <w:pPr>
        <w:numPr>
          <w:ilvl w:val="0"/>
          <w:numId w:val="14"/>
        </w:numPr>
        <w:ind w:left="851" w:hanging="426"/>
        <w:rPr>
          <w:rFonts w:ascii="Calibri" w:hAnsi="Calibri"/>
        </w:rPr>
      </w:pPr>
      <w:r w:rsidRPr="00AE6241">
        <w:rPr>
          <w:rFonts w:ascii="Calibri" w:hAnsi="Calibri"/>
        </w:rPr>
        <w:t>Procurement complaints data will be analysed quarterly to identify any trends or recurring themes that provide an opportunity to improve processes, and reported to the Procurement Committee.</w:t>
      </w:r>
    </w:p>
    <w:p w:rsidR="006F7EB0" w:rsidRPr="00AE6241" w:rsidRDefault="006F7EB0" w:rsidP="006F7EB0">
      <w:pPr>
        <w:keepNext/>
        <w:numPr>
          <w:ilvl w:val="0"/>
          <w:numId w:val="14"/>
        </w:numPr>
        <w:ind w:left="851" w:hanging="426"/>
        <w:rPr>
          <w:rFonts w:ascii="Calibri" w:hAnsi="Calibri"/>
        </w:rPr>
      </w:pPr>
      <w:r w:rsidRPr="00AE6241">
        <w:rPr>
          <w:rFonts w:ascii="Calibri" w:hAnsi="Calibri"/>
        </w:rPr>
        <w:t>If the complaint cannot be resolved to the satisfaction of both parties, the CPO will ensure that Eastern Health notifies HPV within five working days that the complaint could not be resolved and will advise the complainant that:</w:t>
      </w:r>
    </w:p>
    <w:p w:rsidR="006F7EB0" w:rsidRPr="00AE6241" w:rsidRDefault="006F7EB0" w:rsidP="006F7EB0">
      <w:pPr>
        <w:numPr>
          <w:ilvl w:val="1"/>
          <w:numId w:val="14"/>
        </w:numPr>
        <w:spacing w:before="0" w:after="0"/>
        <w:rPr>
          <w:rFonts w:ascii="Calibri" w:hAnsi="Calibri"/>
        </w:rPr>
      </w:pPr>
      <w:r w:rsidRPr="00AE6241">
        <w:rPr>
          <w:rFonts w:ascii="Calibri" w:hAnsi="Calibri"/>
        </w:rPr>
        <w:t>the matter can be referred to the Board of Health Purchasing Victoria (HPV) for review at the following address:</w:t>
      </w:r>
    </w:p>
    <w:p w:rsidR="006F7EB0" w:rsidRPr="00AE6241" w:rsidRDefault="006F7EB0" w:rsidP="006F7EB0">
      <w:pPr>
        <w:ind w:left="2160"/>
        <w:contextualSpacing/>
        <w:rPr>
          <w:rFonts w:ascii="Calibri" w:hAnsi="Calibri"/>
        </w:rPr>
      </w:pPr>
      <w:r w:rsidRPr="00AE6241">
        <w:rPr>
          <w:rFonts w:ascii="Calibri" w:hAnsi="Calibri"/>
        </w:rPr>
        <w:t xml:space="preserve">The Chair </w:t>
      </w:r>
    </w:p>
    <w:p w:rsidR="006F7EB0" w:rsidRPr="00AE6241" w:rsidRDefault="006F7EB0" w:rsidP="006F7EB0">
      <w:pPr>
        <w:ind w:left="2160"/>
        <w:contextualSpacing/>
        <w:rPr>
          <w:rFonts w:ascii="Calibri" w:hAnsi="Calibri"/>
        </w:rPr>
      </w:pPr>
      <w:r w:rsidRPr="00AE6241">
        <w:rPr>
          <w:rFonts w:ascii="Calibri" w:hAnsi="Calibri"/>
        </w:rPr>
        <w:t xml:space="preserve">HPV Board </w:t>
      </w:r>
    </w:p>
    <w:p w:rsidR="006F7EB0" w:rsidRPr="00AE6241" w:rsidRDefault="006F7EB0" w:rsidP="006F7EB0">
      <w:pPr>
        <w:ind w:left="2160"/>
        <w:contextualSpacing/>
        <w:rPr>
          <w:rFonts w:ascii="Calibri" w:hAnsi="Calibri"/>
        </w:rPr>
      </w:pPr>
      <w:r w:rsidRPr="00AE6241">
        <w:rPr>
          <w:rFonts w:ascii="Calibri" w:hAnsi="Calibri"/>
        </w:rPr>
        <w:t xml:space="preserve">Health Purchasing Victoria </w:t>
      </w:r>
    </w:p>
    <w:p w:rsidR="006F7EB0" w:rsidRPr="00AE6241" w:rsidRDefault="006F7EB0" w:rsidP="006F7EB0">
      <w:pPr>
        <w:ind w:left="2160"/>
        <w:contextualSpacing/>
        <w:rPr>
          <w:rFonts w:ascii="Calibri" w:hAnsi="Calibri"/>
        </w:rPr>
      </w:pPr>
      <w:r w:rsidRPr="00AE6241">
        <w:rPr>
          <w:rFonts w:ascii="Calibri" w:hAnsi="Calibri"/>
        </w:rPr>
        <w:t xml:space="preserve">Level 34, 2 Lonsdale Street </w:t>
      </w:r>
    </w:p>
    <w:p w:rsidR="006F7EB0" w:rsidRPr="00AE6241" w:rsidRDefault="006F7EB0" w:rsidP="006F7EB0">
      <w:pPr>
        <w:ind w:left="2160"/>
        <w:contextualSpacing/>
        <w:rPr>
          <w:rFonts w:ascii="Calibri" w:hAnsi="Calibri"/>
        </w:rPr>
      </w:pPr>
      <w:r w:rsidRPr="00AE6241">
        <w:rPr>
          <w:rFonts w:ascii="Calibri" w:hAnsi="Calibri"/>
        </w:rPr>
        <w:t>Melbourne Victoria 3000</w:t>
      </w:r>
    </w:p>
    <w:p w:rsidR="006F7EB0" w:rsidRPr="00AE6241" w:rsidRDefault="006F7EB0" w:rsidP="006F7EB0">
      <w:pPr>
        <w:numPr>
          <w:ilvl w:val="1"/>
          <w:numId w:val="14"/>
        </w:numPr>
        <w:spacing w:before="0" w:after="0"/>
        <w:rPr>
          <w:rFonts w:ascii="Calibri" w:hAnsi="Calibri"/>
        </w:rPr>
      </w:pPr>
      <w:r w:rsidRPr="00AE6241">
        <w:rPr>
          <w:rFonts w:ascii="Calibri" w:hAnsi="Calibri"/>
        </w:rPr>
        <w:t>they have 10 working days from the date of receipt of the findings by Eastern Health to lodge their complaint with HPV; and</w:t>
      </w:r>
    </w:p>
    <w:p w:rsidR="006F7EB0" w:rsidRPr="00AE6241" w:rsidRDefault="006F7EB0" w:rsidP="006F7EB0">
      <w:pPr>
        <w:numPr>
          <w:ilvl w:val="1"/>
          <w:numId w:val="14"/>
        </w:numPr>
        <w:spacing w:before="0" w:after="0"/>
        <w:rPr>
          <w:rFonts w:ascii="Calibri" w:hAnsi="Calibri"/>
        </w:rPr>
      </w:pPr>
      <w:r w:rsidRPr="00AE6241">
        <w:rPr>
          <w:rFonts w:ascii="Calibri" w:hAnsi="Calibri"/>
        </w:rPr>
        <w:t xml:space="preserve">if they do choose to refer their complaint </w:t>
      </w:r>
      <w:r>
        <w:rPr>
          <w:rFonts w:ascii="Calibri" w:hAnsi="Calibri"/>
        </w:rPr>
        <w:t>t</w:t>
      </w:r>
      <w:r w:rsidRPr="00AE6241">
        <w:rPr>
          <w:rFonts w:ascii="Calibri" w:hAnsi="Calibri"/>
        </w:rPr>
        <w:t>o</w:t>
      </w:r>
      <w:r>
        <w:rPr>
          <w:rFonts w:ascii="Calibri" w:hAnsi="Calibri"/>
        </w:rPr>
        <w:t xml:space="preserve"> HPV</w:t>
      </w:r>
      <w:r w:rsidRPr="00AE6241">
        <w:rPr>
          <w:rFonts w:ascii="Calibri" w:hAnsi="Calibri"/>
        </w:rPr>
        <w:t>, they are required to provide the following documentation to HPV:</w:t>
      </w:r>
    </w:p>
    <w:p w:rsidR="006F7EB0" w:rsidRPr="00AE6241" w:rsidRDefault="006F7EB0" w:rsidP="006F7EB0">
      <w:pPr>
        <w:numPr>
          <w:ilvl w:val="0"/>
          <w:numId w:val="17"/>
        </w:numPr>
        <w:spacing w:before="0" w:after="0"/>
        <w:rPr>
          <w:rFonts w:ascii="Calibri" w:hAnsi="Calibri"/>
        </w:rPr>
      </w:pPr>
      <w:r w:rsidRPr="00AE6241">
        <w:rPr>
          <w:rFonts w:ascii="Calibri" w:hAnsi="Calibri"/>
        </w:rPr>
        <w:t xml:space="preserve">evidence that Eastern Health did not correctly apply Health Purchasing Policies in relation to a procurement activity;  </w:t>
      </w:r>
    </w:p>
    <w:p w:rsidR="006F7EB0" w:rsidRPr="00AE6241" w:rsidRDefault="006F7EB0" w:rsidP="006F7EB0">
      <w:pPr>
        <w:numPr>
          <w:ilvl w:val="0"/>
          <w:numId w:val="17"/>
        </w:numPr>
        <w:spacing w:before="0" w:after="0"/>
        <w:rPr>
          <w:rFonts w:ascii="Calibri" w:hAnsi="Calibri"/>
        </w:rPr>
      </w:pPr>
      <w:r w:rsidRPr="00AE6241">
        <w:rPr>
          <w:rFonts w:ascii="Calibri" w:hAnsi="Calibri"/>
        </w:rPr>
        <w:t>evidence that Eastern Health’s complaints management procedures were not applied correctly;</w:t>
      </w:r>
    </w:p>
    <w:p w:rsidR="006F7EB0" w:rsidRPr="00AE6241" w:rsidRDefault="006F7EB0" w:rsidP="006F7EB0">
      <w:pPr>
        <w:numPr>
          <w:ilvl w:val="0"/>
          <w:numId w:val="17"/>
        </w:numPr>
        <w:spacing w:before="0" w:after="0"/>
        <w:rPr>
          <w:rFonts w:ascii="Calibri" w:hAnsi="Calibri"/>
        </w:rPr>
      </w:pPr>
      <w:r w:rsidRPr="00AE6241">
        <w:rPr>
          <w:rFonts w:ascii="Calibri" w:hAnsi="Calibri"/>
        </w:rPr>
        <w:t>a copy of all relevant correspondence between the complainant and Eastern Health in relation to the nature of the complaint; and</w:t>
      </w:r>
    </w:p>
    <w:p w:rsidR="006F7EB0" w:rsidRPr="00FB5E92" w:rsidRDefault="006F7EB0" w:rsidP="006F7EB0">
      <w:pPr>
        <w:numPr>
          <w:ilvl w:val="0"/>
          <w:numId w:val="17"/>
        </w:numPr>
        <w:spacing w:before="0" w:after="0"/>
        <w:rPr>
          <w:rFonts w:ascii="Calibri" w:hAnsi="Calibri"/>
        </w:rPr>
      </w:pPr>
      <w:r w:rsidRPr="00FB5E92">
        <w:rPr>
          <w:rFonts w:ascii="Calibri" w:hAnsi="Calibri"/>
        </w:rPr>
        <w:t>any additional material requested by the HPV Board to assist in its findings.</w:t>
      </w:r>
    </w:p>
    <w:p w:rsidR="006F7EB0" w:rsidRPr="00FB5E92" w:rsidRDefault="006F7EB0" w:rsidP="006F7EB0">
      <w:pPr>
        <w:numPr>
          <w:ilvl w:val="0"/>
          <w:numId w:val="14"/>
        </w:numPr>
        <w:ind w:left="851" w:hanging="426"/>
        <w:rPr>
          <w:rFonts w:ascii="Calibri" w:hAnsi="Calibri"/>
        </w:rPr>
      </w:pPr>
      <w:r w:rsidRPr="00FB5E92">
        <w:rPr>
          <w:rFonts w:ascii="Calibri" w:hAnsi="Calibri"/>
        </w:rPr>
        <w:t>Once the complaint is resolved, the Procurement database entry must be listed as “closed”.</w:t>
      </w:r>
    </w:p>
    <w:p w:rsidR="006F7EB0" w:rsidRPr="00FB5E92" w:rsidRDefault="006F7EB0" w:rsidP="006F7EB0">
      <w:pPr>
        <w:keepNext/>
        <w:numPr>
          <w:ilvl w:val="0"/>
          <w:numId w:val="14"/>
        </w:numPr>
        <w:ind w:left="851" w:hanging="426"/>
        <w:rPr>
          <w:rFonts w:ascii="Calibri" w:hAnsi="Calibri"/>
        </w:rPr>
      </w:pPr>
      <w:r w:rsidRPr="00FB5E92">
        <w:rPr>
          <w:rFonts w:ascii="Calibri" w:hAnsi="Calibri"/>
        </w:rPr>
        <w:t xml:space="preserve">The following information must be reported annually to the Eastern Health Board in relation to each complaint received: </w:t>
      </w:r>
    </w:p>
    <w:p w:rsidR="006F7EB0" w:rsidRPr="00FB5E92" w:rsidRDefault="006F7EB0" w:rsidP="006F7EB0">
      <w:pPr>
        <w:numPr>
          <w:ilvl w:val="1"/>
          <w:numId w:val="20"/>
        </w:numPr>
        <w:spacing w:before="0" w:after="0"/>
        <w:ind w:left="1276" w:hanging="425"/>
        <w:rPr>
          <w:rFonts w:ascii="Calibri" w:hAnsi="Calibri"/>
        </w:rPr>
      </w:pPr>
      <w:r w:rsidRPr="00FB5E92">
        <w:rPr>
          <w:rFonts w:ascii="Calibri" w:hAnsi="Calibri"/>
        </w:rPr>
        <w:t>procurement activity to which the complaint relates; and</w:t>
      </w:r>
    </w:p>
    <w:p w:rsidR="006F7EB0" w:rsidRPr="00FB5E92" w:rsidRDefault="006F7EB0" w:rsidP="006F7EB0">
      <w:pPr>
        <w:numPr>
          <w:ilvl w:val="1"/>
          <w:numId w:val="20"/>
        </w:numPr>
        <w:spacing w:before="0" w:after="0"/>
        <w:ind w:left="1276" w:hanging="425"/>
        <w:rPr>
          <w:rFonts w:ascii="Calibri" w:hAnsi="Calibri"/>
        </w:rPr>
      </w:pPr>
      <w:r w:rsidRPr="00FB5E92">
        <w:rPr>
          <w:rFonts w:ascii="Calibri" w:hAnsi="Calibri"/>
        </w:rPr>
        <w:t>status of the complaint confirming whether it:</w:t>
      </w:r>
    </w:p>
    <w:p w:rsidR="006F7EB0" w:rsidRPr="00FB5E92" w:rsidRDefault="006F7EB0" w:rsidP="006F7EB0">
      <w:pPr>
        <w:numPr>
          <w:ilvl w:val="2"/>
          <w:numId w:val="18"/>
        </w:numPr>
        <w:spacing w:before="0" w:after="0"/>
        <w:ind w:left="1843" w:hanging="425"/>
        <w:rPr>
          <w:rFonts w:ascii="Calibri" w:hAnsi="Calibri"/>
        </w:rPr>
      </w:pPr>
      <w:r w:rsidRPr="00FB5E92">
        <w:rPr>
          <w:rFonts w:ascii="Calibri" w:hAnsi="Calibri"/>
        </w:rPr>
        <w:t>was resolved;</w:t>
      </w:r>
    </w:p>
    <w:p w:rsidR="006F7EB0" w:rsidRPr="00FB5E92" w:rsidRDefault="006F7EB0" w:rsidP="006F7EB0">
      <w:pPr>
        <w:numPr>
          <w:ilvl w:val="2"/>
          <w:numId w:val="18"/>
        </w:numPr>
        <w:spacing w:before="0" w:after="0"/>
        <w:ind w:left="1843" w:hanging="425"/>
        <w:rPr>
          <w:rFonts w:ascii="Calibri" w:hAnsi="Calibri"/>
        </w:rPr>
      </w:pPr>
      <w:r w:rsidRPr="00FB5E92">
        <w:rPr>
          <w:rFonts w:ascii="Calibri" w:hAnsi="Calibri"/>
        </w:rPr>
        <w:t>is still under investigation; or</w:t>
      </w:r>
    </w:p>
    <w:p w:rsidR="006F7EB0" w:rsidRPr="00FB5E92" w:rsidRDefault="006F7EB0" w:rsidP="006F7EB0">
      <w:pPr>
        <w:numPr>
          <w:ilvl w:val="2"/>
          <w:numId w:val="18"/>
        </w:numPr>
        <w:spacing w:before="0" w:after="0"/>
        <w:ind w:left="1843" w:hanging="425"/>
        <w:rPr>
          <w:rFonts w:ascii="Calibri" w:hAnsi="Calibri"/>
        </w:rPr>
      </w:pPr>
      <w:r w:rsidRPr="00FB5E92">
        <w:rPr>
          <w:rFonts w:ascii="Calibri" w:hAnsi="Calibri"/>
        </w:rPr>
        <w:t>could not be resolved.</w:t>
      </w:r>
    </w:p>
    <w:p w:rsidR="00E02DC5" w:rsidRPr="0093504D" w:rsidRDefault="0078266A" w:rsidP="0093504D">
      <w:pPr>
        <w:keepNext/>
        <w:numPr>
          <w:ilvl w:val="0"/>
          <w:numId w:val="9"/>
        </w:numPr>
        <w:ind w:left="357" w:hanging="357"/>
        <w:rPr>
          <w:rFonts w:ascii="Calibri" w:hAnsi="Calibri"/>
          <w:b/>
        </w:rPr>
      </w:pPr>
      <w:r w:rsidRPr="00443B02">
        <w:rPr>
          <w:rFonts w:ascii="Calibri" w:hAnsi="Calibri"/>
          <w:b/>
        </w:rPr>
        <w:t xml:space="preserve">Scope </w:t>
      </w:r>
    </w:p>
    <w:p w:rsidR="00B4334E" w:rsidRPr="00443B02" w:rsidRDefault="006F7EB0" w:rsidP="00B4334E">
      <w:pPr>
        <w:ind w:left="360"/>
        <w:rPr>
          <w:rFonts w:ascii="Calibri" w:hAnsi="Calibri"/>
        </w:rPr>
      </w:pPr>
      <w:r w:rsidRPr="00B537F6">
        <w:rPr>
          <w:rFonts w:ascii="Calibri" w:hAnsi="Calibri"/>
        </w:rPr>
        <w:t>All staff who are involved in procurement activities</w:t>
      </w:r>
      <w:r>
        <w:rPr>
          <w:rFonts w:ascii="Calibri" w:hAnsi="Calibri"/>
        </w:rPr>
        <w:t>.</w:t>
      </w:r>
    </w:p>
    <w:p w:rsidR="0085539B" w:rsidRDefault="0085539B" w:rsidP="0093504D">
      <w:pPr>
        <w:keepNext/>
        <w:numPr>
          <w:ilvl w:val="0"/>
          <w:numId w:val="9"/>
        </w:numPr>
        <w:ind w:left="357" w:hanging="357"/>
        <w:rPr>
          <w:rFonts w:ascii="Calibri" w:hAnsi="Calibri"/>
          <w:b/>
        </w:rPr>
      </w:pPr>
      <w:r w:rsidRPr="00443B02">
        <w:rPr>
          <w:rFonts w:ascii="Calibri" w:hAnsi="Calibri"/>
          <w:b/>
        </w:rPr>
        <w:lastRenderedPageBreak/>
        <w:t>Tools &amp; Techniques</w:t>
      </w:r>
    </w:p>
    <w:p w:rsidR="00DB4761" w:rsidRDefault="006F7EB0" w:rsidP="00B66967">
      <w:pPr>
        <w:rPr>
          <w:rFonts w:ascii="Calibri" w:hAnsi="Calibri"/>
        </w:rPr>
      </w:pPr>
      <w:r w:rsidRPr="00400E2A">
        <w:rPr>
          <w:rFonts w:ascii="Calibri" w:hAnsi="Calibri"/>
        </w:rPr>
        <w:t>Use of a Procurement Complaints database to record all procurement complaints and outcomes</w:t>
      </w:r>
      <w:r>
        <w:rPr>
          <w:rFonts w:ascii="Calibri" w:hAnsi="Calibri"/>
        </w:rPr>
        <w:t>.</w:t>
      </w:r>
    </w:p>
    <w:p w:rsidR="00DB4761" w:rsidRDefault="00DB4761" w:rsidP="00B66967">
      <w:pPr>
        <w:rPr>
          <w:rFonts w:ascii="Calibri" w:hAnsi="Calibri"/>
        </w:rPr>
      </w:pPr>
    </w:p>
    <w:p w:rsidR="00DB4761" w:rsidRPr="00DB4761" w:rsidRDefault="00DB4761" w:rsidP="00DB4761">
      <w:pPr>
        <w:pStyle w:val="ListParagraph"/>
        <w:numPr>
          <w:ilvl w:val="0"/>
          <w:numId w:val="9"/>
        </w:numPr>
        <w:rPr>
          <w:rFonts w:ascii="Calibri" w:hAnsi="Calibri"/>
        </w:rPr>
      </w:pPr>
      <w:r w:rsidRPr="00DB4761">
        <w:rPr>
          <w:rFonts w:ascii="Calibri" w:hAnsi="Calibri"/>
          <w:b/>
        </w:rPr>
        <w:t xml:space="preserve">Level of Supporting Evidence Available </w:t>
      </w:r>
      <w:r w:rsidRPr="00DB4761">
        <w:rPr>
          <w:rFonts w:ascii="Calibri" w:hAnsi="Calibri"/>
        </w:rPr>
        <w:t>(For Clinical Guidelines only – Level I –IV. Provide details.)</w:t>
      </w:r>
    </w:p>
    <w:p w:rsidR="00DB4761" w:rsidRPr="00443B02" w:rsidRDefault="00DB4761" w:rsidP="00B66967">
      <w:pPr>
        <w:rPr>
          <w:rFonts w:ascii="Calibri" w:hAnsi="Calibri"/>
        </w:rPr>
      </w:pPr>
    </w:p>
    <w:p w:rsidR="006738C2" w:rsidRPr="0093504D" w:rsidRDefault="0085539B" w:rsidP="0093504D">
      <w:pPr>
        <w:keepNext/>
        <w:numPr>
          <w:ilvl w:val="0"/>
          <w:numId w:val="9"/>
        </w:numPr>
        <w:ind w:left="357" w:hanging="357"/>
        <w:rPr>
          <w:rFonts w:ascii="Calibri" w:hAnsi="Calibri"/>
          <w:b/>
        </w:rPr>
      </w:pPr>
      <w:r w:rsidRPr="00443B02">
        <w:rPr>
          <w:rFonts w:ascii="Calibri" w:hAnsi="Calibri"/>
          <w:b/>
        </w:rPr>
        <w:t>References</w:t>
      </w:r>
    </w:p>
    <w:p w:rsidR="004E63A0" w:rsidRDefault="006F7EB0" w:rsidP="00B66967">
      <w:pPr>
        <w:rPr>
          <w:rFonts w:ascii="Calibri" w:hAnsi="Calibri"/>
        </w:rPr>
      </w:pPr>
      <w:proofErr w:type="spellStart"/>
      <w:r>
        <w:rPr>
          <w:rFonts w:ascii="Calibri" w:hAnsi="Calibri"/>
        </w:rPr>
        <w:t>HealthShare</w:t>
      </w:r>
      <w:proofErr w:type="spellEnd"/>
      <w:r w:rsidRPr="003158DF">
        <w:rPr>
          <w:rFonts w:ascii="Calibri" w:hAnsi="Calibri"/>
        </w:rPr>
        <w:t xml:space="preserve"> Victoria – Health Purchasing Policy (H</w:t>
      </w:r>
      <w:r>
        <w:rPr>
          <w:rFonts w:ascii="Calibri" w:hAnsi="Calibri"/>
        </w:rPr>
        <w:t>S</w:t>
      </w:r>
      <w:r w:rsidRPr="003158DF">
        <w:rPr>
          <w:rFonts w:ascii="Calibri" w:hAnsi="Calibri"/>
        </w:rPr>
        <w:t>V- HPP), and H</w:t>
      </w:r>
      <w:r>
        <w:rPr>
          <w:rFonts w:ascii="Calibri" w:hAnsi="Calibri"/>
        </w:rPr>
        <w:t>S</w:t>
      </w:r>
      <w:r w:rsidRPr="003158DF">
        <w:rPr>
          <w:rFonts w:ascii="Calibri" w:hAnsi="Calibri"/>
        </w:rPr>
        <w:t>V guidelines and documents</w:t>
      </w:r>
    </w:p>
    <w:p w:rsidR="00DB4761" w:rsidRPr="00443B02" w:rsidRDefault="00DB4761" w:rsidP="00B66967">
      <w:pPr>
        <w:rPr>
          <w:rFonts w:ascii="Calibri" w:hAnsi="Calibri"/>
        </w:rPr>
      </w:pPr>
    </w:p>
    <w:p w:rsidR="00811106" w:rsidRPr="0093504D" w:rsidRDefault="00811106" w:rsidP="0093504D">
      <w:pPr>
        <w:keepNext/>
        <w:numPr>
          <w:ilvl w:val="0"/>
          <w:numId w:val="9"/>
        </w:numPr>
        <w:ind w:left="357" w:hanging="357"/>
        <w:rPr>
          <w:rFonts w:ascii="Calibri" w:hAnsi="Calibri"/>
          <w:b/>
        </w:rPr>
      </w:pPr>
      <w:r w:rsidRPr="00443B02">
        <w:rPr>
          <w:rFonts w:ascii="Calibri" w:hAnsi="Calibri"/>
          <w:b/>
        </w:rPr>
        <w:t>Development History</w:t>
      </w:r>
    </w:p>
    <w:p w:rsidR="006F7EB0" w:rsidRPr="006F7EB0" w:rsidRDefault="006F7EB0" w:rsidP="006F7EB0">
      <w:pPr>
        <w:rPr>
          <w:rFonts w:ascii="Calibri" w:hAnsi="Calibri"/>
        </w:rPr>
      </w:pPr>
      <w:r w:rsidRPr="006F7EB0">
        <w:rPr>
          <w:rFonts w:ascii="Calibri" w:hAnsi="Calibri"/>
        </w:rPr>
        <w:t>New practice guideline February 2016</w:t>
      </w:r>
    </w:p>
    <w:p w:rsidR="006F7EB0" w:rsidRPr="006F7EB0" w:rsidRDefault="006F7EB0" w:rsidP="006F7EB0">
      <w:pPr>
        <w:rPr>
          <w:rFonts w:ascii="Calibri" w:hAnsi="Calibri"/>
        </w:rPr>
      </w:pPr>
      <w:r w:rsidRPr="006F7EB0">
        <w:rPr>
          <w:rFonts w:ascii="Calibri" w:hAnsi="Calibri"/>
        </w:rPr>
        <w:t>Reviewed February 2019- (minor changes only)</w:t>
      </w:r>
    </w:p>
    <w:p w:rsidR="00AC6128" w:rsidRDefault="006F7EB0" w:rsidP="00B66967">
      <w:pPr>
        <w:rPr>
          <w:rFonts w:ascii="Calibri" w:hAnsi="Calibri"/>
        </w:rPr>
      </w:pPr>
      <w:r>
        <w:rPr>
          <w:rFonts w:ascii="Calibri" w:hAnsi="Calibri"/>
        </w:rPr>
        <w:t>Reviewed July 2021</w:t>
      </w:r>
    </w:p>
    <w:p w:rsidR="00A76942" w:rsidRDefault="00A76942" w:rsidP="00B66967">
      <w:pPr>
        <w:rPr>
          <w:rFonts w:ascii="Calibri" w:hAnsi="Calibri"/>
        </w:rPr>
      </w:pPr>
      <w:r>
        <w:rPr>
          <w:rFonts w:ascii="Calibri" w:hAnsi="Calibri"/>
        </w:rPr>
        <w:t>Reviewed May 2022</w:t>
      </w:r>
    </w:p>
    <w:p w:rsidR="00DB4761" w:rsidRPr="00443B02" w:rsidRDefault="00DB4761" w:rsidP="00B66967">
      <w:pPr>
        <w:rPr>
          <w:rFonts w:ascii="Calibri" w:hAnsi="Calibri"/>
        </w:rPr>
      </w:pPr>
      <w:bookmarkStart w:id="0" w:name="_GoBack"/>
      <w:bookmarkEnd w:id="0"/>
    </w:p>
    <w:p w:rsidR="0085539B" w:rsidRPr="00443B02" w:rsidRDefault="0085539B" w:rsidP="0093504D">
      <w:pPr>
        <w:keepNext/>
        <w:numPr>
          <w:ilvl w:val="0"/>
          <w:numId w:val="9"/>
        </w:numPr>
        <w:ind w:left="357" w:hanging="357"/>
        <w:rPr>
          <w:rFonts w:ascii="Calibri" w:hAnsi="Calibri"/>
        </w:rPr>
      </w:pPr>
      <w:r w:rsidRPr="00443B02">
        <w:rPr>
          <w:rFonts w:ascii="Calibri" w:hAnsi="Calibri"/>
          <w:b/>
        </w:rPr>
        <w:t>Attachments</w:t>
      </w:r>
    </w:p>
    <w:p w:rsidR="00811106" w:rsidRPr="00443B02" w:rsidRDefault="00DB4761" w:rsidP="00405099">
      <w:pPr>
        <w:rPr>
          <w:rFonts w:ascii="Calibri" w:hAnsi="Calibri"/>
          <w:b/>
        </w:rPr>
      </w:pPr>
      <w:r>
        <w:rPr>
          <w:rFonts w:ascii="Calibri" w:hAnsi="Calibri"/>
        </w:rPr>
        <w:t xml:space="preserve">Attachment 1: </w:t>
      </w:r>
      <w:r w:rsidR="006F7EB0" w:rsidRPr="003158DF">
        <w:rPr>
          <w:rFonts w:ascii="Calibri" w:hAnsi="Calibri"/>
        </w:rPr>
        <w:t>How to lodge a complaint about the Procurement Process at Eastern Health</w:t>
      </w:r>
      <w:r w:rsidR="006F7EB0">
        <w:rPr>
          <w:rFonts w:ascii="Calibri" w:hAnsi="Calibri"/>
        </w:rPr>
        <w:t>.</w:t>
      </w:r>
    </w:p>
    <w:sectPr w:rsidR="00811106" w:rsidRPr="00443B02" w:rsidSect="008F0557">
      <w:foot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8B" w:rsidRDefault="00E3528B">
      <w:r>
        <w:separator/>
      </w:r>
    </w:p>
  </w:endnote>
  <w:endnote w:type="continuationSeparator" w:id="0">
    <w:p w:rsidR="00E3528B" w:rsidRDefault="00E3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3A" w:rsidRPr="00DB4761" w:rsidRDefault="00DB4761" w:rsidP="00DB4761">
    <w:pPr>
      <w:pStyle w:val="Footer"/>
    </w:pPr>
    <w:r>
      <w:rPr>
        <w:rFonts w:ascii="Calibri" w:hAnsi="Calibri" w:cs="Calibri"/>
      </w:rPr>
      <w:t>Procurement Complaint Management Guideline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8B" w:rsidRDefault="00E3528B">
      <w:r>
        <w:separator/>
      </w:r>
    </w:p>
  </w:footnote>
  <w:footnote w:type="continuationSeparator" w:id="0">
    <w:p w:rsidR="00E3528B" w:rsidRDefault="00E35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D92"/>
    <w:multiLevelType w:val="hybridMultilevel"/>
    <w:tmpl w:val="98D6BC28"/>
    <w:lvl w:ilvl="0" w:tplc="01F09F04">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15265"/>
    <w:multiLevelType w:val="hybridMultilevel"/>
    <w:tmpl w:val="4D3C84B6"/>
    <w:lvl w:ilvl="0" w:tplc="0C09000F">
      <w:start w:val="1"/>
      <w:numFmt w:val="decimal"/>
      <w:lvlText w:val="%1."/>
      <w:lvlJc w:val="left"/>
      <w:pPr>
        <w:ind w:left="502" w:hanging="360"/>
      </w:pPr>
    </w:lvl>
    <w:lvl w:ilvl="1" w:tplc="0C090001">
      <w:start w:val="1"/>
      <w:numFmt w:val="bullet"/>
      <w:lvlText w:val=""/>
      <w:lvlJc w:val="left"/>
      <w:pPr>
        <w:ind w:left="1222" w:hanging="360"/>
      </w:pPr>
      <w:rPr>
        <w:rFonts w:ascii="Symbol" w:hAnsi="Symbol" w:hint="default"/>
      </w:r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 w15:restartNumberingAfterBreak="0">
    <w:nsid w:val="0E161D5E"/>
    <w:multiLevelType w:val="hybridMultilevel"/>
    <w:tmpl w:val="D0528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C843A9"/>
    <w:multiLevelType w:val="hybridMultilevel"/>
    <w:tmpl w:val="B3DA61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0724A8"/>
    <w:multiLevelType w:val="hybridMultilevel"/>
    <w:tmpl w:val="D58E5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C77E7"/>
    <w:multiLevelType w:val="hybridMultilevel"/>
    <w:tmpl w:val="6470A7FE"/>
    <w:lvl w:ilvl="0" w:tplc="3BD23F22">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0C40DE"/>
    <w:multiLevelType w:val="hybridMultilevel"/>
    <w:tmpl w:val="ADB23B34"/>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7" w15:restartNumberingAfterBreak="0">
    <w:nsid w:val="2A4F4091"/>
    <w:multiLevelType w:val="hybridMultilevel"/>
    <w:tmpl w:val="BA945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CE151D"/>
    <w:multiLevelType w:val="hybridMultilevel"/>
    <w:tmpl w:val="7C0EA1BA"/>
    <w:lvl w:ilvl="0" w:tplc="31F4B02E">
      <w:start w:val="1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38475E"/>
    <w:multiLevelType w:val="hybridMultilevel"/>
    <w:tmpl w:val="D0528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1355FEE"/>
    <w:multiLevelType w:val="hybridMultilevel"/>
    <w:tmpl w:val="0AD60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37511B"/>
    <w:multiLevelType w:val="hybridMultilevel"/>
    <w:tmpl w:val="796E06F0"/>
    <w:lvl w:ilvl="0" w:tplc="01F09F04">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1E6A41"/>
    <w:multiLevelType w:val="hybridMultilevel"/>
    <w:tmpl w:val="2048DCDC"/>
    <w:lvl w:ilvl="0" w:tplc="0C09000F">
      <w:start w:val="1"/>
      <w:numFmt w:val="decimal"/>
      <w:lvlText w:val="%1."/>
      <w:lvlJc w:val="left"/>
      <w:pPr>
        <w:ind w:left="502" w:hanging="360"/>
      </w:pPr>
    </w:lvl>
    <w:lvl w:ilvl="1" w:tplc="F7424628">
      <w:start w:val="1"/>
      <w:numFmt w:val="lowerRoman"/>
      <w:lvlText w:val="%2."/>
      <w:lvlJc w:val="left"/>
      <w:pPr>
        <w:ind w:left="1222" w:hanging="360"/>
      </w:pPr>
      <w:rPr>
        <w:rFonts w:hint="default"/>
      </w:r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3" w15:restartNumberingAfterBreak="0">
    <w:nsid w:val="510032D7"/>
    <w:multiLevelType w:val="hybridMultilevel"/>
    <w:tmpl w:val="E886F97A"/>
    <w:lvl w:ilvl="0" w:tplc="30908B18">
      <w:start w:val="1"/>
      <w:numFmt w:val="decimal"/>
      <w:lvlText w:val="%1."/>
      <w:lvlJc w:val="left"/>
      <w:pPr>
        <w:ind w:left="36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1F0177"/>
    <w:multiLevelType w:val="hybridMultilevel"/>
    <w:tmpl w:val="D0528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DF0DAC"/>
    <w:multiLevelType w:val="hybridMultilevel"/>
    <w:tmpl w:val="D0528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85C0A23"/>
    <w:multiLevelType w:val="hybridMultilevel"/>
    <w:tmpl w:val="F188765C"/>
    <w:lvl w:ilvl="0" w:tplc="3BD23F22">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156929"/>
    <w:multiLevelType w:val="hybridMultilevel"/>
    <w:tmpl w:val="AB14CC16"/>
    <w:lvl w:ilvl="0" w:tplc="AA04057E">
      <w:start w:val="1"/>
      <w:numFmt w:val="decimal"/>
      <w:lvlText w:val="%1."/>
      <w:lvlJc w:val="left"/>
      <w:pPr>
        <w:ind w:left="360" w:hanging="360"/>
      </w:pPr>
      <w:rPr>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B335E0B"/>
    <w:multiLevelType w:val="hybridMultilevel"/>
    <w:tmpl w:val="36A4BF22"/>
    <w:lvl w:ilvl="0" w:tplc="0C090019">
      <w:start w:val="1"/>
      <w:numFmt w:val="lowerLetter"/>
      <w:lvlText w:val="%1."/>
      <w:lvlJc w:val="lef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9" w15:restartNumberingAfterBreak="0">
    <w:nsid w:val="6DE70C55"/>
    <w:multiLevelType w:val="hybridMultilevel"/>
    <w:tmpl w:val="A8A2FC9E"/>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6F932605"/>
    <w:multiLevelType w:val="hybridMultilevel"/>
    <w:tmpl w:val="48566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2D2D6F"/>
    <w:multiLevelType w:val="hybridMultilevel"/>
    <w:tmpl w:val="88BC294C"/>
    <w:lvl w:ilvl="0" w:tplc="853AA7A4">
      <w:start w:val="10"/>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5"/>
  </w:num>
  <w:num w:numId="5">
    <w:abstractNumId w:val="9"/>
  </w:num>
  <w:num w:numId="6">
    <w:abstractNumId w:val="16"/>
  </w:num>
  <w:num w:numId="7">
    <w:abstractNumId w:val="5"/>
  </w:num>
  <w:num w:numId="8">
    <w:abstractNumId w:val="13"/>
  </w:num>
  <w:num w:numId="9">
    <w:abstractNumId w:val="17"/>
  </w:num>
  <w:num w:numId="10">
    <w:abstractNumId w:val="4"/>
  </w:num>
  <w:num w:numId="11">
    <w:abstractNumId w:val="20"/>
  </w:num>
  <w:num w:numId="12">
    <w:abstractNumId w:val="11"/>
  </w:num>
  <w:num w:numId="13">
    <w:abstractNumId w:val="0"/>
  </w:num>
  <w:num w:numId="14">
    <w:abstractNumId w:val="6"/>
  </w:num>
  <w:num w:numId="15">
    <w:abstractNumId w:val="3"/>
  </w:num>
  <w:num w:numId="16">
    <w:abstractNumId w:val="1"/>
  </w:num>
  <w:num w:numId="17">
    <w:abstractNumId w:val="18"/>
  </w:num>
  <w:num w:numId="18">
    <w:abstractNumId w:val="12"/>
  </w:num>
  <w:num w:numId="19">
    <w:abstractNumId w:val="21"/>
  </w:num>
  <w:num w:numId="20">
    <w:abstractNumId w:val="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71"/>
    <w:rsid w:val="0000060D"/>
    <w:rsid w:val="0000621D"/>
    <w:rsid w:val="00014BC2"/>
    <w:rsid w:val="00015739"/>
    <w:rsid w:val="00017FFD"/>
    <w:rsid w:val="0002009C"/>
    <w:rsid w:val="000257A5"/>
    <w:rsid w:val="00026483"/>
    <w:rsid w:val="000444B9"/>
    <w:rsid w:val="000517FF"/>
    <w:rsid w:val="0005290C"/>
    <w:rsid w:val="00067868"/>
    <w:rsid w:val="00072A7F"/>
    <w:rsid w:val="000804E6"/>
    <w:rsid w:val="00080604"/>
    <w:rsid w:val="00086705"/>
    <w:rsid w:val="00087BB7"/>
    <w:rsid w:val="0009090D"/>
    <w:rsid w:val="000949A5"/>
    <w:rsid w:val="000949B1"/>
    <w:rsid w:val="000A0345"/>
    <w:rsid w:val="000D0FB0"/>
    <w:rsid w:val="000D648B"/>
    <w:rsid w:val="000D7CBC"/>
    <w:rsid w:val="000E075A"/>
    <w:rsid w:val="000F2FD2"/>
    <w:rsid w:val="000F78E9"/>
    <w:rsid w:val="001073E5"/>
    <w:rsid w:val="00114344"/>
    <w:rsid w:val="00130C54"/>
    <w:rsid w:val="00132984"/>
    <w:rsid w:val="00135E61"/>
    <w:rsid w:val="00136AE0"/>
    <w:rsid w:val="0014323C"/>
    <w:rsid w:val="00147996"/>
    <w:rsid w:val="00153F98"/>
    <w:rsid w:val="00157E65"/>
    <w:rsid w:val="00160F0A"/>
    <w:rsid w:val="00166539"/>
    <w:rsid w:val="001677A3"/>
    <w:rsid w:val="0017084F"/>
    <w:rsid w:val="00171C33"/>
    <w:rsid w:val="0018139A"/>
    <w:rsid w:val="00182B7B"/>
    <w:rsid w:val="001863F9"/>
    <w:rsid w:val="00191D93"/>
    <w:rsid w:val="0019280B"/>
    <w:rsid w:val="001A24AA"/>
    <w:rsid w:val="001B1E55"/>
    <w:rsid w:val="001B4323"/>
    <w:rsid w:val="001C62FF"/>
    <w:rsid w:val="001C7576"/>
    <w:rsid w:val="001D005A"/>
    <w:rsid w:val="001D4D19"/>
    <w:rsid w:val="001E1FCC"/>
    <w:rsid w:val="001E31E9"/>
    <w:rsid w:val="001E7D28"/>
    <w:rsid w:val="001F0BCB"/>
    <w:rsid w:val="001F3C94"/>
    <w:rsid w:val="001F6B00"/>
    <w:rsid w:val="00200C21"/>
    <w:rsid w:val="00215151"/>
    <w:rsid w:val="00216FCD"/>
    <w:rsid w:val="00227E7E"/>
    <w:rsid w:val="002328E4"/>
    <w:rsid w:val="00240FDA"/>
    <w:rsid w:val="00254357"/>
    <w:rsid w:val="002544FB"/>
    <w:rsid w:val="0025713A"/>
    <w:rsid w:val="002763ED"/>
    <w:rsid w:val="00287FF3"/>
    <w:rsid w:val="00296592"/>
    <w:rsid w:val="00297AA4"/>
    <w:rsid w:val="002B0E2E"/>
    <w:rsid w:val="002D7B1C"/>
    <w:rsid w:val="002E0F5B"/>
    <w:rsid w:val="002F213F"/>
    <w:rsid w:val="002F705C"/>
    <w:rsid w:val="00320064"/>
    <w:rsid w:val="003333C4"/>
    <w:rsid w:val="00333827"/>
    <w:rsid w:val="0034530E"/>
    <w:rsid w:val="00351257"/>
    <w:rsid w:val="00361720"/>
    <w:rsid w:val="00363A7D"/>
    <w:rsid w:val="00363DF7"/>
    <w:rsid w:val="003A75E3"/>
    <w:rsid w:val="003B6167"/>
    <w:rsid w:val="003C0581"/>
    <w:rsid w:val="003C500E"/>
    <w:rsid w:val="003D2D5A"/>
    <w:rsid w:val="003E60EB"/>
    <w:rsid w:val="003E6510"/>
    <w:rsid w:val="003F0747"/>
    <w:rsid w:val="003F1239"/>
    <w:rsid w:val="00405099"/>
    <w:rsid w:val="00422CF0"/>
    <w:rsid w:val="004268AD"/>
    <w:rsid w:val="004367B8"/>
    <w:rsid w:val="00440F60"/>
    <w:rsid w:val="00443B02"/>
    <w:rsid w:val="00456FC1"/>
    <w:rsid w:val="00457EC2"/>
    <w:rsid w:val="004830CE"/>
    <w:rsid w:val="00485BA4"/>
    <w:rsid w:val="00495750"/>
    <w:rsid w:val="004A2F4A"/>
    <w:rsid w:val="004A525A"/>
    <w:rsid w:val="004A7500"/>
    <w:rsid w:val="004B1DED"/>
    <w:rsid w:val="004C19F9"/>
    <w:rsid w:val="004D29F5"/>
    <w:rsid w:val="004E32FD"/>
    <w:rsid w:val="004E5ECA"/>
    <w:rsid w:val="004E63A0"/>
    <w:rsid w:val="004E6C54"/>
    <w:rsid w:val="00503010"/>
    <w:rsid w:val="00511AF1"/>
    <w:rsid w:val="00516B92"/>
    <w:rsid w:val="0052305C"/>
    <w:rsid w:val="0052794A"/>
    <w:rsid w:val="00533C7C"/>
    <w:rsid w:val="00536096"/>
    <w:rsid w:val="00544E85"/>
    <w:rsid w:val="0055285B"/>
    <w:rsid w:val="005543C0"/>
    <w:rsid w:val="00555607"/>
    <w:rsid w:val="00556A12"/>
    <w:rsid w:val="00560232"/>
    <w:rsid w:val="00561034"/>
    <w:rsid w:val="00563B63"/>
    <w:rsid w:val="0058088E"/>
    <w:rsid w:val="00581654"/>
    <w:rsid w:val="005908B3"/>
    <w:rsid w:val="00596F64"/>
    <w:rsid w:val="005A1361"/>
    <w:rsid w:val="005A23DF"/>
    <w:rsid w:val="005A42EE"/>
    <w:rsid w:val="005A516D"/>
    <w:rsid w:val="005B27AD"/>
    <w:rsid w:val="005C5909"/>
    <w:rsid w:val="005C7A21"/>
    <w:rsid w:val="005E1301"/>
    <w:rsid w:val="005E22D8"/>
    <w:rsid w:val="00600BBE"/>
    <w:rsid w:val="00602FE0"/>
    <w:rsid w:val="00603D17"/>
    <w:rsid w:val="00605959"/>
    <w:rsid w:val="006316BC"/>
    <w:rsid w:val="00647954"/>
    <w:rsid w:val="00650626"/>
    <w:rsid w:val="00653547"/>
    <w:rsid w:val="006642F8"/>
    <w:rsid w:val="00665610"/>
    <w:rsid w:val="006658D6"/>
    <w:rsid w:val="00671C66"/>
    <w:rsid w:val="0067202C"/>
    <w:rsid w:val="0067321D"/>
    <w:rsid w:val="006738C2"/>
    <w:rsid w:val="006809DD"/>
    <w:rsid w:val="00680C16"/>
    <w:rsid w:val="00680C99"/>
    <w:rsid w:val="00685C4F"/>
    <w:rsid w:val="006A05FC"/>
    <w:rsid w:val="006A6778"/>
    <w:rsid w:val="006D5294"/>
    <w:rsid w:val="006F3D01"/>
    <w:rsid w:val="006F6BC3"/>
    <w:rsid w:val="006F7EB0"/>
    <w:rsid w:val="00702C06"/>
    <w:rsid w:val="00710C16"/>
    <w:rsid w:val="00714CD5"/>
    <w:rsid w:val="007150AA"/>
    <w:rsid w:val="007258B9"/>
    <w:rsid w:val="00727042"/>
    <w:rsid w:val="00734E8D"/>
    <w:rsid w:val="00752772"/>
    <w:rsid w:val="00755BB7"/>
    <w:rsid w:val="007602D1"/>
    <w:rsid w:val="00763081"/>
    <w:rsid w:val="00763E6D"/>
    <w:rsid w:val="00772EB3"/>
    <w:rsid w:val="0078266A"/>
    <w:rsid w:val="00784E34"/>
    <w:rsid w:val="007876FC"/>
    <w:rsid w:val="0079405D"/>
    <w:rsid w:val="007A5575"/>
    <w:rsid w:val="007B089B"/>
    <w:rsid w:val="007C021A"/>
    <w:rsid w:val="007C0D10"/>
    <w:rsid w:val="007C0DB5"/>
    <w:rsid w:val="007C12A0"/>
    <w:rsid w:val="007C2071"/>
    <w:rsid w:val="007C4104"/>
    <w:rsid w:val="007E5380"/>
    <w:rsid w:val="007E5AFD"/>
    <w:rsid w:val="007F06EA"/>
    <w:rsid w:val="007F2D6D"/>
    <w:rsid w:val="007F4ACF"/>
    <w:rsid w:val="007F63E1"/>
    <w:rsid w:val="007F7F0E"/>
    <w:rsid w:val="00800C59"/>
    <w:rsid w:val="00804FF5"/>
    <w:rsid w:val="008051E2"/>
    <w:rsid w:val="0080614B"/>
    <w:rsid w:val="00811106"/>
    <w:rsid w:val="00811AC0"/>
    <w:rsid w:val="008169C9"/>
    <w:rsid w:val="00817DC3"/>
    <w:rsid w:val="008200EA"/>
    <w:rsid w:val="00822B4F"/>
    <w:rsid w:val="00843557"/>
    <w:rsid w:val="00843E65"/>
    <w:rsid w:val="0085539B"/>
    <w:rsid w:val="00863237"/>
    <w:rsid w:val="008654D8"/>
    <w:rsid w:val="008764EA"/>
    <w:rsid w:val="0088020C"/>
    <w:rsid w:val="00881FA2"/>
    <w:rsid w:val="008B47AD"/>
    <w:rsid w:val="008B61B9"/>
    <w:rsid w:val="008C090D"/>
    <w:rsid w:val="008D399A"/>
    <w:rsid w:val="008E44A5"/>
    <w:rsid w:val="008F0557"/>
    <w:rsid w:val="008F0695"/>
    <w:rsid w:val="00904FB4"/>
    <w:rsid w:val="00923864"/>
    <w:rsid w:val="00927F4B"/>
    <w:rsid w:val="00932C47"/>
    <w:rsid w:val="009334FA"/>
    <w:rsid w:val="0093504D"/>
    <w:rsid w:val="00935F07"/>
    <w:rsid w:val="00937C41"/>
    <w:rsid w:val="00941404"/>
    <w:rsid w:val="00953AFF"/>
    <w:rsid w:val="0095540F"/>
    <w:rsid w:val="009663D3"/>
    <w:rsid w:val="00975EEA"/>
    <w:rsid w:val="00985D94"/>
    <w:rsid w:val="00987FB9"/>
    <w:rsid w:val="0099585B"/>
    <w:rsid w:val="009A3257"/>
    <w:rsid w:val="009A64EA"/>
    <w:rsid w:val="009A6DAF"/>
    <w:rsid w:val="009B04FC"/>
    <w:rsid w:val="009B18B8"/>
    <w:rsid w:val="009B3CC8"/>
    <w:rsid w:val="009C53F8"/>
    <w:rsid w:val="009D6225"/>
    <w:rsid w:val="00A05369"/>
    <w:rsid w:val="00A16751"/>
    <w:rsid w:val="00A33313"/>
    <w:rsid w:val="00A353C4"/>
    <w:rsid w:val="00A4347F"/>
    <w:rsid w:val="00A518EE"/>
    <w:rsid w:val="00A5760A"/>
    <w:rsid w:val="00A6660F"/>
    <w:rsid w:val="00A76942"/>
    <w:rsid w:val="00A777F4"/>
    <w:rsid w:val="00A77B7A"/>
    <w:rsid w:val="00A910D0"/>
    <w:rsid w:val="00A9284D"/>
    <w:rsid w:val="00AA30F8"/>
    <w:rsid w:val="00AA595D"/>
    <w:rsid w:val="00AA6F34"/>
    <w:rsid w:val="00AA713A"/>
    <w:rsid w:val="00AB747C"/>
    <w:rsid w:val="00AC6128"/>
    <w:rsid w:val="00AC7040"/>
    <w:rsid w:val="00AD77F3"/>
    <w:rsid w:val="00AD7C0F"/>
    <w:rsid w:val="00AE25B5"/>
    <w:rsid w:val="00AE327C"/>
    <w:rsid w:val="00AE48E0"/>
    <w:rsid w:val="00AF551D"/>
    <w:rsid w:val="00B011DC"/>
    <w:rsid w:val="00B07A2D"/>
    <w:rsid w:val="00B2113D"/>
    <w:rsid w:val="00B225BF"/>
    <w:rsid w:val="00B2629B"/>
    <w:rsid w:val="00B36EF9"/>
    <w:rsid w:val="00B4334E"/>
    <w:rsid w:val="00B56AF4"/>
    <w:rsid w:val="00B619B5"/>
    <w:rsid w:val="00B635A4"/>
    <w:rsid w:val="00B64819"/>
    <w:rsid w:val="00B66967"/>
    <w:rsid w:val="00B728F1"/>
    <w:rsid w:val="00B73BAB"/>
    <w:rsid w:val="00B9069F"/>
    <w:rsid w:val="00B970F0"/>
    <w:rsid w:val="00B97C4D"/>
    <w:rsid w:val="00BB4BC0"/>
    <w:rsid w:val="00BC24D7"/>
    <w:rsid w:val="00BC7EF2"/>
    <w:rsid w:val="00BD1E2A"/>
    <w:rsid w:val="00BE3D0D"/>
    <w:rsid w:val="00BF0229"/>
    <w:rsid w:val="00BF0585"/>
    <w:rsid w:val="00BF112F"/>
    <w:rsid w:val="00BF3DB0"/>
    <w:rsid w:val="00BF5D4B"/>
    <w:rsid w:val="00C216A5"/>
    <w:rsid w:val="00C415E8"/>
    <w:rsid w:val="00C43630"/>
    <w:rsid w:val="00C500FD"/>
    <w:rsid w:val="00C529A6"/>
    <w:rsid w:val="00C5410C"/>
    <w:rsid w:val="00C619F5"/>
    <w:rsid w:val="00C7122D"/>
    <w:rsid w:val="00C732A2"/>
    <w:rsid w:val="00C77803"/>
    <w:rsid w:val="00C824EA"/>
    <w:rsid w:val="00C903CD"/>
    <w:rsid w:val="00C9135A"/>
    <w:rsid w:val="00C93C3D"/>
    <w:rsid w:val="00C94073"/>
    <w:rsid w:val="00CA705D"/>
    <w:rsid w:val="00CB1EE6"/>
    <w:rsid w:val="00CB6997"/>
    <w:rsid w:val="00CC23FC"/>
    <w:rsid w:val="00CC5C43"/>
    <w:rsid w:val="00CE208A"/>
    <w:rsid w:val="00CE301A"/>
    <w:rsid w:val="00CF0B85"/>
    <w:rsid w:val="00D03140"/>
    <w:rsid w:val="00D0738F"/>
    <w:rsid w:val="00D17BAA"/>
    <w:rsid w:val="00D3482B"/>
    <w:rsid w:val="00D4006A"/>
    <w:rsid w:val="00D43DC0"/>
    <w:rsid w:val="00D56D25"/>
    <w:rsid w:val="00D60B35"/>
    <w:rsid w:val="00D6215E"/>
    <w:rsid w:val="00D646CA"/>
    <w:rsid w:val="00D81FBA"/>
    <w:rsid w:val="00D832DE"/>
    <w:rsid w:val="00D8335C"/>
    <w:rsid w:val="00D85782"/>
    <w:rsid w:val="00D86D9B"/>
    <w:rsid w:val="00D95F35"/>
    <w:rsid w:val="00DB4761"/>
    <w:rsid w:val="00DC46C3"/>
    <w:rsid w:val="00DC7104"/>
    <w:rsid w:val="00DD4F3C"/>
    <w:rsid w:val="00DE5CB2"/>
    <w:rsid w:val="00E02DC5"/>
    <w:rsid w:val="00E03D8F"/>
    <w:rsid w:val="00E100C8"/>
    <w:rsid w:val="00E107A3"/>
    <w:rsid w:val="00E15637"/>
    <w:rsid w:val="00E20B30"/>
    <w:rsid w:val="00E26C61"/>
    <w:rsid w:val="00E3528B"/>
    <w:rsid w:val="00E4142E"/>
    <w:rsid w:val="00E538F6"/>
    <w:rsid w:val="00E6126B"/>
    <w:rsid w:val="00E67DD4"/>
    <w:rsid w:val="00E77DFF"/>
    <w:rsid w:val="00E930FF"/>
    <w:rsid w:val="00E95312"/>
    <w:rsid w:val="00EB59DE"/>
    <w:rsid w:val="00EC01DA"/>
    <w:rsid w:val="00ED5DD5"/>
    <w:rsid w:val="00ED5FF5"/>
    <w:rsid w:val="00ED78AB"/>
    <w:rsid w:val="00EE2B3D"/>
    <w:rsid w:val="00EE409F"/>
    <w:rsid w:val="00EE635B"/>
    <w:rsid w:val="00EF5AE9"/>
    <w:rsid w:val="00F01AE2"/>
    <w:rsid w:val="00F03FB1"/>
    <w:rsid w:val="00F05AC2"/>
    <w:rsid w:val="00F11165"/>
    <w:rsid w:val="00F20123"/>
    <w:rsid w:val="00F26A0F"/>
    <w:rsid w:val="00F32FBF"/>
    <w:rsid w:val="00F35F14"/>
    <w:rsid w:val="00F46316"/>
    <w:rsid w:val="00F55C5D"/>
    <w:rsid w:val="00F57075"/>
    <w:rsid w:val="00F665E7"/>
    <w:rsid w:val="00F671CF"/>
    <w:rsid w:val="00F671E4"/>
    <w:rsid w:val="00F70530"/>
    <w:rsid w:val="00F7066B"/>
    <w:rsid w:val="00F7750C"/>
    <w:rsid w:val="00F92372"/>
    <w:rsid w:val="00FA0C04"/>
    <w:rsid w:val="00FA38D8"/>
    <w:rsid w:val="00FA4D99"/>
    <w:rsid w:val="00FC4C67"/>
    <w:rsid w:val="00FE0E28"/>
    <w:rsid w:val="00FE38EB"/>
    <w:rsid w:val="00FF1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40E4BC-D679-4002-8EE5-1B739AF1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B0"/>
    <w:pPr>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7104"/>
    <w:pPr>
      <w:tabs>
        <w:tab w:val="center" w:pos="4153"/>
        <w:tab w:val="right" w:pos="8306"/>
      </w:tabs>
    </w:pPr>
  </w:style>
  <w:style w:type="paragraph" w:styleId="Footer">
    <w:name w:val="footer"/>
    <w:basedOn w:val="Normal"/>
    <w:link w:val="FooterChar"/>
    <w:uiPriority w:val="99"/>
    <w:rsid w:val="00DC7104"/>
    <w:pPr>
      <w:tabs>
        <w:tab w:val="center" w:pos="4153"/>
        <w:tab w:val="right" w:pos="8306"/>
      </w:tabs>
    </w:pPr>
  </w:style>
  <w:style w:type="character" w:styleId="Hyperlink">
    <w:name w:val="Hyperlink"/>
    <w:uiPriority w:val="99"/>
    <w:rsid w:val="00361720"/>
    <w:rPr>
      <w:color w:val="0000FF"/>
      <w:u w:val="single"/>
    </w:rPr>
  </w:style>
  <w:style w:type="character" w:customStyle="1" w:styleId="FooterChar">
    <w:name w:val="Footer Char"/>
    <w:link w:val="Footer"/>
    <w:uiPriority w:val="99"/>
    <w:rsid w:val="00650626"/>
    <w:rPr>
      <w:sz w:val="24"/>
      <w:szCs w:val="24"/>
    </w:rPr>
  </w:style>
  <w:style w:type="paragraph" w:styleId="BalloonText">
    <w:name w:val="Balloon Text"/>
    <w:basedOn w:val="Normal"/>
    <w:link w:val="BalloonTextChar"/>
    <w:rsid w:val="00C5410C"/>
    <w:rPr>
      <w:rFonts w:ascii="Tahoma" w:hAnsi="Tahoma" w:cs="Tahoma"/>
      <w:sz w:val="16"/>
      <w:szCs w:val="16"/>
    </w:rPr>
  </w:style>
  <w:style w:type="character" w:customStyle="1" w:styleId="BalloonTextChar">
    <w:name w:val="Balloon Text Char"/>
    <w:link w:val="BalloonText"/>
    <w:rsid w:val="00C5410C"/>
    <w:rPr>
      <w:rFonts w:ascii="Tahoma" w:hAnsi="Tahoma" w:cs="Tahoma"/>
      <w:sz w:val="16"/>
      <w:szCs w:val="16"/>
    </w:rPr>
  </w:style>
  <w:style w:type="paragraph" w:styleId="Revision">
    <w:name w:val="Revision"/>
    <w:hidden/>
    <w:uiPriority w:val="99"/>
    <w:semiHidden/>
    <w:rsid w:val="007E5AFD"/>
    <w:rPr>
      <w:sz w:val="24"/>
      <w:szCs w:val="24"/>
    </w:rPr>
  </w:style>
  <w:style w:type="character" w:styleId="CommentReference">
    <w:name w:val="annotation reference"/>
    <w:rsid w:val="005908B3"/>
    <w:rPr>
      <w:sz w:val="16"/>
      <w:szCs w:val="16"/>
    </w:rPr>
  </w:style>
  <w:style w:type="paragraph" w:styleId="CommentText">
    <w:name w:val="annotation text"/>
    <w:basedOn w:val="Normal"/>
    <w:link w:val="CommentTextChar"/>
    <w:rsid w:val="005908B3"/>
    <w:rPr>
      <w:sz w:val="20"/>
      <w:szCs w:val="20"/>
    </w:rPr>
  </w:style>
  <w:style w:type="character" w:customStyle="1" w:styleId="CommentTextChar">
    <w:name w:val="Comment Text Char"/>
    <w:basedOn w:val="DefaultParagraphFont"/>
    <w:link w:val="CommentText"/>
    <w:rsid w:val="005908B3"/>
  </w:style>
  <w:style w:type="paragraph" w:styleId="CommentSubject">
    <w:name w:val="annotation subject"/>
    <w:basedOn w:val="CommentText"/>
    <w:next w:val="CommentText"/>
    <w:link w:val="CommentSubjectChar"/>
    <w:rsid w:val="005908B3"/>
    <w:rPr>
      <w:b/>
      <w:bCs/>
    </w:rPr>
  </w:style>
  <w:style w:type="character" w:customStyle="1" w:styleId="CommentSubjectChar">
    <w:name w:val="Comment Subject Char"/>
    <w:link w:val="CommentSubject"/>
    <w:rsid w:val="005908B3"/>
    <w:rPr>
      <w:b/>
      <w:bCs/>
    </w:rPr>
  </w:style>
  <w:style w:type="paragraph" w:customStyle="1" w:styleId="NormalCOMPLIANCE">
    <w:name w:val="Normal COMPLIANCE"/>
    <w:basedOn w:val="Normal"/>
    <w:rsid w:val="0055285B"/>
    <w:rPr>
      <w:rFonts w:ascii="Arial Narrow" w:eastAsia="Calibri" w:hAnsi="Arial Narrow" w:cs="Times New Roman"/>
      <w:color w:val="000000"/>
      <w:sz w:val="20"/>
      <w:szCs w:val="20"/>
      <w:lang w:eastAsia="en-US"/>
    </w:rPr>
  </w:style>
  <w:style w:type="paragraph" w:styleId="ListParagraph">
    <w:name w:val="List Paragraph"/>
    <w:basedOn w:val="Normal"/>
    <w:uiPriority w:val="34"/>
    <w:qFormat/>
    <w:rsid w:val="006F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073">
      <w:bodyDiv w:val="1"/>
      <w:marLeft w:val="0"/>
      <w:marRight w:val="0"/>
      <w:marTop w:val="0"/>
      <w:marBottom w:val="0"/>
      <w:divBdr>
        <w:top w:val="none" w:sz="0" w:space="0" w:color="auto"/>
        <w:left w:val="none" w:sz="0" w:space="0" w:color="auto"/>
        <w:bottom w:val="none" w:sz="0" w:space="0" w:color="auto"/>
        <w:right w:val="none" w:sz="0" w:space="0" w:color="auto"/>
      </w:divBdr>
    </w:div>
    <w:div w:id="239604079">
      <w:bodyDiv w:val="1"/>
      <w:marLeft w:val="0"/>
      <w:marRight w:val="0"/>
      <w:marTop w:val="0"/>
      <w:marBottom w:val="0"/>
      <w:divBdr>
        <w:top w:val="none" w:sz="0" w:space="0" w:color="auto"/>
        <w:left w:val="none" w:sz="0" w:space="0" w:color="auto"/>
        <w:bottom w:val="none" w:sz="0" w:space="0" w:color="auto"/>
        <w:right w:val="none" w:sz="0" w:space="0" w:color="auto"/>
      </w:divBdr>
    </w:div>
    <w:div w:id="263809167">
      <w:bodyDiv w:val="1"/>
      <w:marLeft w:val="0"/>
      <w:marRight w:val="0"/>
      <w:marTop w:val="0"/>
      <w:marBottom w:val="0"/>
      <w:divBdr>
        <w:top w:val="none" w:sz="0" w:space="0" w:color="auto"/>
        <w:left w:val="none" w:sz="0" w:space="0" w:color="auto"/>
        <w:bottom w:val="none" w:sz="0" w:space="0" w:color="auto"/>
        <w:right w:val="none" w:sz="0" w:space="0" w:color="auto"/>
      </w:divBdr>
    </w:div>
    <w:div w:id="300619726">
      <w:bodyDiv w:val="1"/>
      <w:marLeft w:val="0"/>
      <w:marRight w:val="0"/>
      <w:marTop w:val="0"/>
      <w:marBottom w:val="0"/>
      <w:divBdr>
        <w:top w:val="none" w:sz="0" w:space="0" w:color="auto"/>
        <w:left w:val="none" w:sz="0" w:space="0" w:color="auto"/>
        <w:bottom w:val="none" w:sz="0" w:space="0" w:color="auto"/>
        <w:right w:val="none" w:sz="0" w:space="0" w:color="auto"/>
      </w:divBdr>
    </w:div>
    <w:div w:id="321274116">
      <w:bodyDiv w:val="1"/>
      <w:marLeft w:val="0"/>
      <w:marRight w:val="0"/>
      <w:marTop w:val="0"/>
      <w:marBottom w:val="0"/>
      <w:divBdr>
        <w:top w:val="none" w:sz="0" w:space="0" w:color="auto"/>
        <w:left w:val="none" w:sz="0" w:space="0" w:color="auto"/>
        <w:bottom w:val="none" w:sz="0" w:space="0" w:color="auto"/>
        <w:right w:val="none" w:sz="0" w:space="0" w:color="auto"/>
      </w:divBdr>
    </w:div>
    <w:div w:id="398794711">
      <w:bodyDiv w:val="1"/>
      <w:marLeft w:val="0"/>
      <w:marRight w:val="0"/>
      <w:marTop w:val="0"/>
      <w:marBottom w:val="0"/>
      <w:divBdr>
        <w:top w:val="none" w:sz="0" w:space="0" w:color="auto"/>
        <w:left w:val="none" w:sz="0" w:space="0" w:color="auto"/>
        <w:bottom w:val="none" w:sz="0" w:space="0" w:color="auto"/>
        <w:right w:val="none" w:sz="0" w:space="0" w:color="auto"/>
      </w:divBdr>
    </w:div>
    <w:div w:id="567306670">
      <w:bodyDiv w:val="1"/>
      <w:marLeft w:val="0"/>
      <w:marRight w:val="0"/>
      <w:marTop w:val="0"/>
      <w:marBottom w:val="0"/>
      <w:divBdr>
        <w:top w:val="none" w:sz="0" w:space="0" w:color="auto"/>
        <w:left w:val="none" w:sz="0" w:space="0" w:color="auto"/>
        <w:bottom w:val="none" w:sz="0" w:space="0" w:color="auto"/>
        <w:right w:val="none" w:sz="0" w:space="0" w:color="auto"/>
      </w:divBdr>
    </w:div>
    <w:div w:id="676080192">
      <w:bodyDiv w:val="1"/>
      <w:marLeft w:val="0"/>
      <w:marRight w:val="0"/>
      <w:marTop w:val="0"/>
      <w:marBottom w:val="0"/>
      <w:divBdr>
        <w:top w:val="none" w:sz="0" w:space="0" w:color="auto"/>
        <w:left w:val="none" w:sz="0" w:space="0" w:color="auto"/>
        <w:bottom w:val="none" w:sz="0" w:space="0" w:color="auto"/>
        <w:right w:val="none" w:sz="0" w:space="0" w:color="auto"/>
      </w:divBdr>
    </w:div>
    <w:div w:id="784160198">
      <w:bodyDiv w:val="1"/>
      <w:marLeft w:val="0"/>
      <w:marRight w:val="0"/>
      <w:marTop w:val="0"/>
      <w:marBottom w:val="0"/>
      <w:divBdr>
        <w:top w:val="none" w:sz="0" w:space="0" w:color="auto"/>
        <w:left w:val="none" w:sz="0" w:space="0" w:color="auto"/>
        <w:bottom w:val="none" w:sz="0" w:space="0" w:color="auto"/>
        <w:right w:val="none" w:sz="0" w:space="0" w:color="auto"/>
      </w:divBdr>
    </w:div>
    <w:div w:id="1335962209">
      <w:bodyDiv w:val="1"/>
      <w:marLeft w:val="0"/>
      <w:marRight w:val="0"/>
      <w:marTop w:val="0"/>
      <w:marBottom w:val="0"/>
      <w:divBdr>
        <w:top w:val="none" w:sz="0" w:space="0" w:color="auto"/>
        <w:left w:val="none" w:sz="0" w:space="0" w:color="auto"/>
        <w:bottom w:val="none" w:sz="0" w:space="0" w:color="auto"/>
        <w:right w:val="none" w:sz="0" w:space="0" w:color="auto"/>
      </w:divBdr>
    </w:div>
    <w:div w:id="1352564109">
      <w:bodyDiv w:val="1"/>
      <w:marLeft w:val="0"/>
      <w:marRight w:val="0"/>
      <w:marTop w:val="0"/>
      <w:marBottom w:val="0"/>
      <w:divBdr>
        <w:top w:val="none" w:sz="0" w:space="0" w:color="auto"/>
        <w:left w:val="none" w:sz="0" w:space="0" w:color="auto"/>
        <w:bottom w:val="none" w:sz="0" w:space="0" w:color="auto"/>
        <w:right w:val="none" w:sz="0" w:space="0" w:color="auto"/>
      </w:divBdr>
    </w:div>
    <w:div w:id="1427724345">
      <w:bodyDiv w:val="1"/>
      <w:marLeft w:val="0"/>
      <w:marRight w:val="0"/>
      <w:marTop w:val="0"/>
      <w:marBottom w:val="0"/>
      <w:divBdr>
        <w:top w:val="none" w:sz="0" w:space="0" w:color="auto"/>
        <w:left w:val="none" w:sz="0" w:space="0" w:color="auto"/>
        <w:bottom w:val="none" w:sz="0" w:space="0" w:color="auto"/>
        <w:right w:val="none" w:sz="0" w:space="0" w:color="auto"/>
      </w:divBdr>
    </w:div>
    <w:div w:id="1428768706">
      <w:bodyDiv w:val="1"/>
      <w:marLeft w:val="0"/>
      <w:marRight w:val="0"/>
      <w:marTop w:val="0"/>
      <w:marBottom w:val="0"/>
      <w:divBdr>
        <w:top w:val="none" w:sz="0" w:space="0" w:color="auto"/>
        <w:left w:val="none" w:sz="0" w:space="0" w:color="auto"/>
        <w:bottom w:val="none" w:sz="0" w:space="0" w:color="auto"/>
        <w:right w:val="none" w:sz="0" w:space="0" w:color="auto"/>
      </w:divBdr>
    </w:div>
    <w:div w:id="1632899125">
      <w:bodyDiv w:val="1"/>
      <w:marLeft w:val="0"/>
      <w:marRight w:val="0"/>
      <w:marTop w:val="0"/>
      <w:marBottom w:val="0"/>
      <w:divBdr>
        <w:top w:val="none" w:sz="0" w:space="0" w:color="auto"/>
        <w:left w:val="none" w:sz="0" w:space="0" w:color="auto"/>
        <w:bottom w:val="none" w:sz="0" w:space="0" w:color="auto"/>
        <w:right w:val="none" w:sz="0" w:space="0" w:color="auto"/>
      </w:divBdr>
    </w:div>
    <w:div w:id="1633826561">
      <w:bodyDiv w:val="1"/>
      <w:marLeft w:val="0"/>
      <w:marRight w:val="0"/>
      <w:marTop w:val="0"/>
      <w:marBottom w:val="0"/>
      <w:divBdr>
        <w:top w:val="none" w:sz="0" w:space="0" w:color="auto"/>
        <w:left w:val="none" w:sz="0" w:space="0" w:color="auto"/>
        <w:bottom w:val="none" w:sz="0" w:space="0" w:color="auto"/>
        <w:right w:val="none" w:sz="0" w:space="0" w:color="auto"/>
      </w:divBdr>
    </w:div>
    <w:div w:id="1834762009">
      <w:bodyDiv w:val="1"/>
      <w:marLeft w:val="0"/>
      <w:marRight w:val="0"/>
      <w:marTop w:val="0"/>
      <w:marBottom w:val="0"/>
      <w:divBdr>
        <w:top w:val="none" w:sz="0" w:space="0" w:color="auto"/>
        <w:left w:val="none" w:sz="0" w:space="0" w:color="auto"/>
        <w:bottom w:val="none" w:sz="0" w:space="0" w:color="auto"/>
        <w:right w:val="none" w:sz="0" w:space="0" w:color="auto"/>
      </w:divBdr>
    </w:div>
    <w:div w:id="1997025757">
      <w:bodyDiv w:val="1"/>
      <w:marLeft w:val="0"/>
      <w:marRight w:val="0"/>
      <w:marTop w:val="0"/>
      <w:marBottom w:val="0"/>
      <w:divBdr>
        <w:top w:val="none" w:sz="0" w:space="0" w:color="auto"/>
        <w:left w:val="none" w:sz="0" w:space="0" w:color="auto"/>
        <w:bottom w:val="none" w:sz="0" w:space="0" w:color="auto"/>
        <w:right w:val="none" w:sz="0" w:space="0" w:color="auto"/>
      </w:divBdr>
    </w:div>
    <w:div w:id="2002465081">
      <w:bodyDiv w:val="1"/>
      <w:marLeft w:val="0"/>
      <w:marRight w:val="0"/>
      <w:marTop w:val="0"/>
      <w:marBottom w:val="0"/>
      <w:divBdr>
        <w:top w:val="none" w:sz="0" w:space="0" w:color="auto"/>
        <w:left w:val="none" w:sz="0" w:space="0" w:color="auto"/>
        <w:bottom w:val="none" w:sz="0" w:space="0" w:color="auto"/>
        <w:right w:val="none" w:sz="0" w:space="0" w:color="auto"/>
      </w:divBdr>
    </w:div>
    <w:div w:id="2048600820">
      <w:bodyDiv w:val="1"/>
      <w:marLeft w:val="0"/>
      <w:marRight w:val="0"/>
      <w:marTop w:val="0"/>
      <w:marBottom w:val="0"/>
      <w:divBdr>
        <w:top w:val="none" w:sz="0" w:space="0" w:color="auto"/>
        <w:left w:val="none" w:sz="0" w:space="0" w:color="auto"/>
        <w:bottom w:val="none" w:sz="0" w:space="0" w:color="auto"/>
        <w:right w:val="none" w:sz="0" w:space="0" w:color="auto"/>
      </w:divBdr>
    </w:div>
    <w:div w:id="20738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DF78.6AFF13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3AA5168C4154CB1A3CFC0081A91B8" ma:contentTypeVersion="0" ma:contentTypeDescription="Create a new document." ma:contentTypeScope="" ma:versionID="984b020b3abda96a9a1303bcf81d7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6DEE7-D0C6-4BB0-B67B-82DA31160AEB}">
  <ds:schemaRefs>
    <ds:schemaRef ds:uri="http://schemas.microsoft.com/sharepoint/v3/contenttype/forms"/>
  </ds:schemaRefs>
</ds:datastoreItem>
</file>

<file path=customXml/itemProps2.xml><?xml version="1.0" encoding="utf-8"?>
<ds:datastoreItem xmlns:ds="http://schemas.openxmlformats.org/officeDocument/2006/customXml" ds:itemID="{DDE5D7F9-45C6-464A-8CC4-810C65469AA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35A951-9BB6-45C5-BD8F-98D9ADB6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5C5C31-EDBD-488E-87FB-BC77B240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EASTERN HEALTH</vt:lpstr>
    </vt:vector>
  </TitlesOfParts>
  <Company>Eastern Health</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HEALTH</dc:title>
  <dc:creator>rule alison</dc:creator>
  <cp:lastModifiedBy>Quinn, Kevin</cp:lastModifiedBy>
  <cp:revision>2</cp:revision>
  <cp:lastPrinted>2013-07-16T23:33:00Z</cp:lastPrinted>
  <dcterms:created xsi:type="dcterms:W3CDTF">2022-06-21T05:25:00Z</dcterms:created>
  <dcterms:modified xsi:type="dcterms:W3CDTF">2022-06-21T05:25:00Z</dcterms:modified>
</cp:coreProperties>
</file>